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6E" w:rsidRPr="003A749E" w:rsidRDefault="00F4076E" w:rsidP="00F4076E">
      <w:pPr>
        <w:jc w:val="center"/>
        <w:rPr>
          <w:b/>
          <w:sz w:val="27"/>
          <w:szCs w:val="27"/>
        </w:rPr>
      </w:pPr>
      <w:bookmarkStart w:id="0" w:name="_GoBack"/>
      <w:bookmarkEnd w:id="0"/>
      <w:r w:rsidRPr="003A749E">
        <w:rPr>
          <w:b/>
          <w:sz w:val="27"/>
          <w:szCs w:val="27"/>
        </w:rPr>
        <w:t>СЛУЖБА ПО ТАРИФАМ АСТРАХАНСКОЙ ОБЛАСТИ</w:t>
      </w:r>
    </w:p>
    <w:p w:rsidR="00F4076E" w:rsidRPr="003A749E" w:rsidRDefault="00F4076E" w:rsidP="00F4076E">
      <w:pPr>
        <w:jc w:val="center"/>
        <w:rPr>
          <w:sz w:val="27"/>
          <w:szCs w:val="27"/>
        </w:rPr>
      </w:pP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ПРОТОКОЛ</w:t>
      </w: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г. Астрахань</w:t>
      </w:r>
    </w:p>
    <w:p w:rsidR="00F4076E" w:rsidRPr="003A749E" w:rsidRDefault="00F4076E" w:rsidP="00F4076E">
      <w:pPr>
        <w:jc w:val="center"/>
        <w:rPr>
          <w:sz w:val="27"/>
          <w:szCs w:val="27"/>
        </w:rPr>
      </w:pPr>
      <w:r w:rsidRPr="003A749E">
        <w:rPr>
          <w:sz w:val="27"/>
          <w:szCs w:val="27"/>
        </w:rPr>
        <w:t xml:space="preserve"> </w:t>
      </w:r>
    </w:p>
    <w:p w:rsidR="00F4076E" w:rsidRPr="003A749E" w:rsidRDefault="00303F2B" w:rsidP="00F4076E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09</w:t>
      </w:r>
      <w:r w:rsidR="00F4076E" w:rsidRPr="003A749E">
        <w:rPr>
          <w:b/>
          <w:sz w:val="27"/>
          <w:szCs w:val="27"/>
        </w:rPr>
        <w:t>.1</w:t>
      </w:r>
      <w:r>
        <w:rPr>
          <w:b/>
          <w:sz w:val="27"/>
          <w:szCs w:val="27"/>
        </w:rPr>
        <w:t>2</w:t>
      </w:r>
      <w:r w:rsidR="00F4076E" w:rsidRPr="003A749E">
        <w:rPr>
          <w:b/>
          <w:sz w:val="27"/>
          <w:szCs w:val="27"/>
        </w:rPr>
        <w:t xml:space="preserve">.2020                                                                                                              № </w:t>
      </w:r>
      <w:r w:rsidR="00872FAB">
        <w:rPr>
          <w:b/>
          <w:sz w:val="27"/>
          <w:szCs w:val="27"/>
        </w:rPr>
        <w:t>156</w:t>
      </w: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Председатель – Степанищева О.В.</w:t>
      </w:r>
    </w:p>
    <w:p w:rsidR="00F4076E" w:rsidRPr="003A749E" w:rsidRDefault="00F4076E" w:rsidP="00F4076E">
      <w:pPr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Заместитель председателя – Свиридов А.А.</w:t>
      </w:r>
    </w:p>
    <w:p w:rsidR="00F4076E" w:rsidRPr="003A749E" w:rsidRDefault="00F4076E" w:rsidP="00F4076E">
      <w:pPr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Секретарь – Абъятанова Н.Н.</w:t>
      </w:r>
    </w:p>
    <w:p w:rsidR="00F4076E" w:rsidRPr="003A749E" w:rsidRDefault="00F4076E" w:rsidP="00F4076E">
      <w:pPr>
        <w:jc w:val="both"/>
        <w:rPr>
          <w:sz w:val="27"/>
          <w:szCs w:val="27"/>
        </w:rPr>
      </w:pPr>
    </w:p>
    <w:p w:rsidR="00F4076E" w:rsidRPr="003A749E" w:rsidRDefault="00F4076E" w:rsidP="00F4076E">
      <w:pPr>
        <w:jc w:val="both"/>
        <w:rPr>
          <w:sz w:val="27"/>
          <w:szCs w:val="27"/>
        </w:rPr>
      </w:pPr>
      <w:r w:rsidRPr="003A749E">
        <w:rPr>
          <w:b/>
          <w:sz w:val="27"/>
          <w:szCs w:val="27"/>
        </w:rPr>
        <w:t>Присутствовали:</w:t>
      </w:r>
      <w:r w:rsidRPr="003A749E">
        <w:rPr>
          <w:sz w:val="27"/>
          <w:szCs w:val="27"/>
        </w:rPr>
        <w:t xml:space="preserve"> </w:t>
      </w:r>
      <w:r w:rsidR="003B28D6" w:rsidRPr="00172232">
        <w:rPr>
          <w:sz w:val="27"/>
          <w:szCs w:val="27"/>
        </w:rPr>
        <w:t>Луковников Д.В., Белунина Г.Г., Бронникова О.А., Иванов И.А., Турасова Л.А., Чунакова Н.И.</w:t>
      </w:r>
    </w:p>
    <w:p w:rsidR="00F4076E" w:rsidRPr="003A749E" w:rsidRDefault="00F4076E" w:rsidP="00F4076E">
      <w:pPr>
        <w:suppressAutoHyphens/>
        <w:rPr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Приглашенные:</w:t>
      </w:r>
    </w:p>
    <w:p w:rsidR="00F4076E" w:rsidRPr="003A749E" w:rsidRDefault="00F4076E" w:rsidP="00F4076E">
      <w:pPr>
        <w:jc w:val="both"/>
        <w:rPr>
          <w:sz w:val="27"/>
          <w:szCs w:val="27"/>
        </w:rPr>
      </w:pPr>
      <w:r w:rsidRPr="003A749E">
        <w:rPr>
          <w:sz w:val="27"/>
          <w:szCs w:val="27"/>
        </w:rPr>
        <w:t>Сивриткина М.А.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1C762A" w:rsidRPr="003A749E" w:rsidRDefault="001C762A" w:rsidP="002A42FC">
      <w:pPr>
        <w:jc w:val="both"/>
        <w:rPr>
          <w:b/>
          <w:sz w:val="27"/>
          <w:szCs w:val="27"/>
        </w:rPr>
      </w:pPr>
    </w:p>
    <w:p w:rsidR="002A42FC" w:rsidRPr="003A749E" w:rsidRDefault="002A42FC" w:rsidP="002A42FC">
      <w:pPr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ПОВЕСТКА ДНЯ:</w:t>
      </w:r>
    </w:p>
    <w:p w:rsidR="001C762A" w:rsidRPr="003A749E" w:rsidRDefault="001C762A" w:rsidP="001C762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Рассмотрение дела об установлении </w:t>
      </w:r>
      <w:r w:rsidR="00303F2B">
        <w:rPr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303F2B">
        <w:rPr>
          <w:sz w:val="27"/>
          <w:szCs w:val="27"/>
        </w:rPr>
        <w:t>1183025002819</w:t>
      </w:r>
      <w:r w:rsidR="00594EFE" w:rsidRPr="003A749E">
        <w:rPr>
          <w:sz w:val="27"/>
          <w:szCs w:val="27"/>
        </w:rPr>
        <w:t>)</w:t>
      </w:r>
      <w:r w:rsidRPr="003A749E">
        <w:rPr>
          <w:color w:val="000000"/>
          <w:sz w:val="27"/>
          <w:szCs w:val="27"/>
        </w:rPr>
        <w:t xml:space="preserve"> </w:t>
      </w:r>
      <w:r w:rsidRPr="003A749E">
        <w:rPr>
          <w:sz w:val="27"/>
          <w:szCs w:val="27"/>
        </w:rPr>
        <w:t>тариф</w:t>
      </w:r>
      <w:r w:rsidR="00F4076E" w:rsidRPr="003A749E">
        <w:rPr>
          <w:sz w:val="27"/>
          <w:szCs w:val="27"/>
        </w:rPr>
        <w:t>ов</w:t>
      </w:r>
      <w:r w:rsidRPr="003A749E">
        <w:rPr>
          <w:sz w:val="27"/>
          <w:szCs w:val="27"/>
        </w:rPr>
        <w:t xml:space="preserve"> </w:t>
      </w:r>
      <w:r w:rsidRPr="003A749E">
        <w:rPr>
          <w:color w:val="000000"/>
          <w:sz w:val="27"/>
          <w:szCs w:val="27"/>
        </w:rPr>
        <w:t>в сфере холодного водоснабжения</w:t>
      </w:r>
      <w:r w:rsidR="00F4076E" w:rsidRPr="003A749E">
        <w:rPr>
          <w:color w:val="000000"/>
          <w:sz w:val="27"/>
          <w:szCs w:val="27"/>
        </w:rPr>
        <w:t xml:space="preserve"> и водоотведения</w:t>
      </w:r>
      <w:r w:rsidRPr="003A749E">
        <w:rPr>
          <w:color w:val="000000"/>
          <w:sz w:val="27"/>
          <w:szCs w:val="27"/>
        </w:rPr>
        <w:t xml:space="preserve"> </w:t>
      </w:r>
      <w:r w:rsidRPr="003A749E">
        <w:rPr>
          <w:sz w:val="27"/>
          <w:szCs w:val="27"/>
        </w:rPr>
        <w:t xml:space="preserve">(приказ службы по тарифам Астраханской области от </w:t>
      </w:r>
      <w:r w:rsidR="00303F2B">
        <w:rPr>
          <w:sz w:val="27"/>
          <w:szCs w:val="27"/>
        </w:rPr>
        <w:t>29</w:t>
      </w:r>
      <w:r w:rsidR="004D0E54" w:rsidRPr="003A749E">
        <w:rPr>
          <w:sz w:val="27"/>
          <w:szCs w:val="27"/>
        </w:rPr>
        <w:t>.</w:t>
      </w:r>
      <w:r w:rsidR="00303F2B">
        <w:rPr>
          <w:sz w:val="27"/>
          <w:szCs w:val="27"/>
        </w:rPr>
        <w:t>10</w:t>
      </w:r>
      <w:r w:rsidR="004D0E54" w:rsidRPr="003A749E">
        <w:rPr>
          <w:sz w:val="27"/>
          <w:szCs w:val="27"/>
        </w:rPr>
        <w:t xml:space="preserve">.2020 № </w:t>
      </w:r>
      <w:r w:rsidR="00303F2B">
        <w:rPr>
          <w:sz w:val="27"/>
          <w:szCs w:val="27"/>
        </w:rPr>
        <w:t>264)</w:t>
      </w:r>
      <w:r w:rsidRPr="003A749E">
        <w:rPr>
          <w:sz w:val="27"/>
          <w:szCs w:val="27"/>
        </w:rPr>
        <w:t xml:space="preserve">. </w:t>
      </w:r>
    </w:p>
    <w:p w:rsidR="001C762A" w:rsidRPr="003A749E" w:rsidRDefault="001C762A" w:rsidP="001C762A">
      <w:pPr>
        <w:ind w:firstLine="567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Доклад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F4076E" w:rsidRPr="003A749E">
        <w:rPr>
          <w:sz w:val="27"/>
          <w:szCs w:val="27"/>
        </w:rPr>
        <w:t>Сивриткиной М.А.</w:t>
      </w:r>
    </w:p>
    <w:p w:rsidR="00074B86" w:rsidRPr="003A749E" w:rsidRDefault="00074B86" w:rsidP="00074B86">
      <w:pPr>
        <w:jc w:val="both"/>
        <w:rPr>
          <w:sz w:val="27"/>
          <w:szCs w:val="27"/>
        </w:rPr>
      </w:pPr>
    </w:p>
    <w:p w:rsidR="00CC308D" w:rsidRPr="003A749E" w:rsidRDefault="002F56EA" w:rsidP="00CC308D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СЛУШАЛИ</w:t>
      </w:r>
      <w:r w:rsidR="00CC308D" w:rsidRPr="003A749E">
        <w:rPr>
          <w:b/>
          <w:sz w:val="27"/>
          <w:szCs w:val="27"/>
        </w:rPr>
        <w:t>:</w:t>
      </w:r>
    </w:p>
    <w:p w:rsidR="008C180F" w:rsidRPr="003A749E" w:rsidRDefault="00F4076E" w:rsidP="00F04539">
      <w:pPr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Сивриткину М.А</w:t>
      </w:r>
      <w:r w:rsidR="001C762A" w:rsidRPr="003A749E">
        <w:rPr>
          <w:sz w:val="27"/>
          <w:szCs w:val="27"/>
        </w:rPr>
        <w:t>.</w:t>
      </w:r>
      <w:r w:rsidR="007F5F09" w:rsidRPr="003A749E">
        <w:rPr>
          <w:sz w:val="27"/>
          <w:szCs w:val="27"/>
        </w:rPr>
        <w:t>:</w:t>
      </w:r>
    </w:p>
    <w:p w:rsidR="00270422" w:rsidRPr="003A749E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«</w:t>
      </w:r>
      <w:r w:rsidR="007B2EFE" w:rsidRPr="003A749E">
        <w:rPr>
          <w:sz w:val="27"/>
          <w:szCs w:val="27"/>
        </w:rPr>
        <w:t>В службу по тарифам Астрахан</w:t>
      </w:r>
      <w:r w:rsidR="00BE7E32" w:rsidRPr="003A749E">
        <w:rPr>
          <w:sz w:val="27"/>
          <w:szCs w:val="27"/>
        </w:rPr>
        <w:t>ской области поступил</w:t>
      </w:r>
      <w:r w:rsidR="00303F2B">
        <w:rPr>
          <w:sz w:val="27"/>
          <w:szCs w:val="27"/>
        </w:rPr>
        <w:t>и</w:t>
      </w:r>
      <w:r w:rsidR="00BE7E32" w:rsidRPr="003A749E">
        <w:rPr>
          <w:sz w:val="27"/>
          <w:szCs w:val="27"/>
        </w:rPr>
        <w:t xml:space="preserve"> заявлени</w:t>
      </w:r>
      <w:r w:rsidR="0053126A" w:rsidRPr="003A749E">
        <w:rPr>
          <w:sz w:val="27"/>
          <w:szCs w:val="27"/>
        </w:rPr>
        <w:t>я</w:t>
      </w:r>
      <w:r w:rsidR="007B2EFE" w:rsidRPr="003A749E">
        <w:rPr>
          <w:sz w:val="27"/>
          <w:szCs w:val="27"/>
        </w:rPr>
        <w:t xml:space="preserve"> </w:t>
      </w:r>
      <w:r w:rsidR="00303F2B">
        <w:rPr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303F2B">
        <w:rPr>
          <w:sz w:val="27"/>
          <w:szCs w:val="27"/>
        </w:rPr>
        <w:t>1183025002819</w:t>
      </w:r>
      <w:r w:rsidR="00594EFE" w:rsidRPr="003A749E">
        <w:rPr>
          <w:sz w:val="27"/>
          <w:szCs w:val="27"/>
        </w:rPr>
        <w:t>)</w:t>
      </w:r>
      <w:r w:rsidR="000A686B" w:rsidRPr="003A749E">
        <w:rPr>
          <w:sz w:val="27"/>
          <w:szCs w:val="27"/>
        </w:rPr>
        <w:t xml:space="preserve"> об установлении тариф</w:t>
      </w:r>
      <w:r w:rsidR="00F4076E" w:rsidRPr="003A749E">
        <w:rPr>
          <w:sz w:val="27"/>
          <w:szCs w:val="27"/>
        </w:rPr>
        <w:t>ов</w:t>
      </w:r>
      <w:r w:rsidR="000A686B" w:rsidRPr="003A749E">
        <w:rPr>
          <w:sz w:val="27"/>
          <w:szCs w:val="27"/>
        </w:rPr>
        <w:t xml:space="preserve"> в сфере холодного</w:t>
      </w:r>
      <w:r w:rsidR="00A75772" w:rsidRPr="003A749E">
        <w:rPr>
          <w:sz w:val="27"/>
          <w:szCs w:val="27"/>
        </w:rPr>
        <w:t xml:space="preserve"> водоснабжения</w:t>
      </w:r>
      <w:r w:rsidR="00F4076E" w:rsidRPr="003A749E">
        <w:rPr>
          <w:sz w:val="27"/>
          <w:szCs w:val="27"/>
        </w:rPr>
        <w:t xml:space="preserve"> и водоотведения</w:t>
      </w:r>
      <w:r w:rsidR="00AE5234" w:rsidRPr="003A749E">
        <w:rPr>
          <w:sz w:val="27"/>
          <w:szCs w:val="27"/>
        </w:rPr>
        <w:t xml:space="preserve"> (регистрационны</w:t>
      </w:r>
      <w:r w:rsidR="00F4076E" w:rsidRPr="003A749E">
        <w:rPr>
          <w:sz w:val="27"/>
          <w:szCs w:val="27"/>
        </w:rPr>
        <w:t>е</w:t>
      </w:r>
      <w:r w:rsidR="00AE5234" w:rsidRPr="003A749E">
        <w:rPr>
          <w:sz w:val="27"/>
          <w:szCs w:val="27"/>
        </w:rPr>
        <w:t xml:space="preserve"> № </w:t>
      </w:r>
      <w:r w:rsidR="00303F2B">
        <w:rPr>
          <w:sz w:val="27"/>
          <w:szCs w:val="27"/>
        </w:rPr>
        <w:t>4084, № 4085</w:t>
      </w:r>
      <w:r w:rsidR="000A686B" w:rsidRPr="003A749E">
        <w:rPr>
          <w:sz w:val="27"/>
          <w:szCs w:val="27"/>
        </w:rPr>
        <w:t xml:space="preserve"> от </w:t>
      </w:r>
      <w:r w:rsidR="00303F2B">
        <w:rPr>
          <w:sz w:val="27"/>
          <w:szCs w:val="27"/>
        </w:rPr>
        <w:t>1</w:t>
      </w:r>
      <w:r w:rsidR="00F4076E" w:rsidRPr="003A749E">
        <w:rPr>
          <w:sz w:val="27"/>
          <w:szCs w:val="27"/>
        </w:rPr>
        <w:t>9</w:t>
      </w:r>
      <w:r w:rsidR="00303F2B">
        <w:rPr>
          <w:sz w:val="27"/>
          <w:szCs w:val="27"/>
        </w:rPr>
        <w:t>.10</w:t>
      </w:r>
      <w:r w:rsidR="00C5439E" w:rsidRPr="003A749E">
        <w:rPr>
          <w:sz w:val="27"/>
          <w:szCs w:val="27"/>
        </w:rPr>
        <w:t>.20</w:t>
      </w:r>
      <w:r w:rsidR="004D0E54" w:rsidRPr="003A749E">
        <w:rPr>
          <w:sz w:val="27"/>
          <w:szCs w:val="27"/>
        </w:rPr>
        <w:t>20</w:t>
      </w:r>
      <w:r w:rsidR="007F5F09" w:rsidRPr="003A749E">
        <w:rPr>
          <w:sz w:val="27"/>
          <w:szCs w:val="27"/>
        </w:rPr>
        <w:t>).</w:t>
      </w:r>
    </w:p>
    <w:p w:rsidR="00584A52" w:rsidRPr="003A749E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Приказом службы по тарифам Астраханской области </w:t>
      </w:r>
      <w:r w:rsidR="007F5F09" w:rsidRPr="003A749E">
        <w:rPr>
          <w:sz w:val="27"/>
          <w:szCs w:val="27"/>
        </w:rPr>
        <w:t xml:space="preserve">от </w:t>
      </w:r>
      <w:r w:rsidR="00303F2B">
        <w:rPr>
          <w:sz w:val="27"/>
          <w:szCs w:val="27"/>
        </w:rPr>
        <w:t>29.10</w:t>
      </w:r>
      <w:r w:rsidR="004D0E54" w:rsidRPr="003A749E">
        <w:rPr>
          <w:sz w:val="27"/>
          <w:szCs w:val="27"/>
        </w:rPr>
        <w:t xml:space="preserve">.2020 № </w:t>
      </w:r>
      <w:r w:rsidR="00303F2B">
        <w:rPr>
          <w:sz w:val="27"/>
          <w:szCs w:val="27"/>
        </w:rPr>
        <w:t>264</w:t>
      </w:r>
      <w:r w:rsidR="004D0E54" w:rsidRPr="003A749E">
        <w:rPr>
          <w:sz w:val="27"/>
          <w:szCs w:val="27"/>
        </w:rPr>
        <w:t xml:space="preserve">  </w:t>
      </w:r>
      <w:r w:rsidR="000A686B" w:rsidRPr="003A749E">
        <w:rPr>
          <w:sz w:val="27"/>
          <w:szCs w:val="27"/>
        </w:rPr>
        <w:t xml:space="preserve">открыто дело об установлении </w:t>
      </w:r>
      <w:r w:rsidR="00303F2B">
        <w:rPr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303F2B">
        <w:rPr>
          <w:sz w:val="27"/>
          <w:szCs w:val="27"/>
        </w:rPr>
        <w:t>1183025002819</w:t>
      </w:r>
      <w:r w:rsidR="00594EFE" w:rsidRPr="003A749E">
        <w:rPr>
          <w:sz w:val="27"/>
          <w:szCs w:val="27"/>
        </w:rPr>
        <w:t>)</w:t>
      </w:r>
      <w:r w:rsidR="003A636B" w:rsidRPr="003A749E">
        <w:rPr>
          <w:sz w:val="27"/>
          <w:szCs w:val="27"/>
        </w:rPr>
        <w:t xml:space="preserve"> </w:t>
      </w:r>
      <w:r w:rsidR="000A686B" w:rsidRPr="003A749E">
        <w:rPr>
          <w:sz w:val="27"/>
          <w:szCs w:val="27"/>
        </w:rPr>
        <w:t>тариф</w:t>
      </w:r>
      <w:r w:rsidR="00F4076E" w:rsidRPr="003A749E">
        <w:rPr>
          <w:sz w:val="27"/>
          <w:szCs w:val="27"/>
        </w:rPr>
        <w:t>ов</w:t>
      </w:r>
      <w:r w:rsidR="000A686B" w:rsidRPr="003A749E">
        <w:rPr>
          <w:sz w:val="27"/>
          <w:szCs w:val="27"/>
        </w:rPr>
        <w:t xml:space="preserve"> сфере холодного водоснабжения</w:t>
      </w:r>
      <w:r w:rsidR="00F4076E" w:rsidRPr="003A749E">
        <w:rPr>
          <w:sz w:val="27"/>
          <w:szCs w:val="27"/>
        </w:rPr>
        <w:t xml:space="preserve"> и водоотведения</w:t>
      </w:r>
      <w:r w:rsidR="00094D21" w:rsidRPr="003A749E">
        <w:rPr>
          <w:sz w:val="27"/>
          <w:szCs w:val="27"/>
        </w:rPr>
        <w:t>,</w:t>
      </w:r>
      <w:r w:rsidR="00FD61D9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A749E">
        <w:rPr>
          <w:sz w:val="27"/>
          <w:szCs w:val="27"/>
        </w:rPr>
        <w:t>о</w:t>
      </w:r>
      <w:r w:rsidRPr="003A749E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3A749E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По представленным </w:t>
      </w:r>
      <w:r w:rsidR="00797024" w:rsidRPr="003A749E">
        <w:rPr>
          <w:sz w:val="27"/>
          <w:szCs w:val="27"/>
        </w:rPr>
        <w:t>материалам проведена экспертиза.</w:t>
      </w:r>
    </w:p>
    <w:p w:rsidR="007E7C8D" w:rsidRPr="003A749E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Уполномоченный по делу </w:t>
      </w:r>
      <w:r w:rsidR="0045130B" w:rsidRPr="003A749E">
        <w:rPr>
          <w:sz w:val="27"/>
          <w:szCs w:val="27"/>
        </w:rPr>
        <w:t>огласил</w:t>
      </w:r>
      <w:r w:rsidR="00A4632C" w:rsidRPr="003A749E">
        <w:rPr>
          <w:sz w:val="27"/>
          <w:szCs w:val="27"/>
        </w:rPr>
        <w:t xml:space="preserve"> э</w:t>
      </w:r>
      <w:r w:rsidR="007E7C8D" w:rsidRPr="003A749E">
        <w:rPr>
          <w:sz w:val="27"/>
          <w:szCs w:val="27"/>
        </w:rPr>
        <w:t>кспертное заключение, которое содержит: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-</w:t>
      </w:r>
      <w:r w:rsidR="00013E06" w:rsidRPr="003A749E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lastRenderedPageBreak/>
        <w:t>-</w:t>
      </w:r>
      <w:r w:rsidR="00013E06" w:rsidRPr="003A749E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 xml:space="preserve"> экономически не обоснованных расходов, учтенных </w:t>
      </w:r>
      <w:r w:rsidR="00303F2B">
        <w:rPr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303F2B">
        <w:rPr>
          <w:sz w:val="27"/>
          <w:szCs w:val="27"/>
        </w:rPr>
        <w:t>1183025002819</w:t>
      </w:r>
      <w:r w:rsidR="00594EFE" w:rsidRPr="003A749E">
        <w:rPr>
          <w:sz w:val="27"/>
          <w:szCs w:val="27"/>
        </w:rPr>
        <w:t>)</w:t>
      </w:r>
      <w:r w:rsidR="0084279C" w:rsidRPr="003A749E">
        <w:rPr>
          <w:sz w:val="27"/>
          <w:szCs w:val="27"/>
        </w:rPr>
        <w:t xml:space="preserve"> </w:t>
      </w:r>
      <w:r w:rsidR="00013E06" w:rsidRPr="003A749E">
        <w:rPr>
          <w:sz w:val="27"/>
          <w:szCs w:val="27"/>
        </w:rPr>
        <w:t>в предложении об установлении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>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>.</w:t>
      </w:r>
    </w:p>
    <w:p w:rsidR="00914B90" w:rsidRPr="003A749E" w:rsidRDefault="00914B90" w:rsidP="00914B90">
      <w:pPr>
        <w:pStyle w:val="ConsPlusNormal"/>
        <w:tabs>
          <w:tab w:val="left" w:pos="142"/>
        </w:tabs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В соответствии с заявлени</w:t>
      </w:r>
      <w:r w:rsidR="0053126A" w:rsidRPr="003A749E">
        <w:rPr>
          <w:sz w:val="27"/>
          <w:szCs w:val="27"/>
        </w:rPr>
        <w:t>ями</w:t>
      </w:r>
      <w:r w:rsidRPr="003A749E">
        <w:rPr>
          <w:sz w:val="27"/>
          <w:szCs w:val="27"/>
        </w:rPr>
        <w:t xml:space="preserve"> от </w:t>
      </w:r>
      <w:r w:rsidR="00303F2B">
        <w:rPr>
          <w:sz w:val="27"/>
          <w:szCs w:val="27"/>
        </w:rPr>
        <w:t>19</w:t>
      </w:r>
      <w:r w:rsidR="000343E0" w:rsidRPr="003A749E">
        <w:rPr>
          <w:sz w:val="27"/>
          <w:szCs w:val="27"/>
        </w:rPr>
        <w:t>.</w:t>
      </w:r>
      <w:r w:rsidR="00303F2B">
        <w:rPr>
          <w:sz w:val="27"/>
          <w:szCs w:val="27"/>
        </w:rPr>
        <w:t>10</w:t>
      </w:r>
      <w:r w:rsidR="000343E0" w:rsidRPr="003A749E">
        <w:rPr>
          <w:sz w:val="27"/>
          <w:szCs w:val="27"/>
        </w:rPr>
        <w:t>.20</w:t>
      </w:r>
      <w:r w:rsidR="004D0E54" w:rsidRPr="003A749E">
        <w:rPr>
          <w:sz w:val="27"/>
          <w:szCs w:val="27"/>
        </w:rPr>
        <w:t>20</w:t>
      </w:r>
      <w:r w:rsidR="0053126A" w:rsidRPr="003A749E">
        <w:rPr>
          <w:sz w:val="27"/>
          <w:szCs w:val="27"/>
        </w:rPr>
        <w:t xml:space="preserve"> № </w:t>
      </w:r>
      <w:r w:rsidR="00303F2B">
        <w:rPr>
          <w:sz w:val="27"/>
          <w:szCs w:val="27"/>
        </w:rPr>
        <w:t>121</w:t>
      </w:r>
      <w:r w:rsidR="0053126A" w:rsidRPr="003A749E">
        <w:rPr>
          <w:sz w:val="27"/>
          <w:szCs w:val="27"/>
        </w:rPr>
        <w:t xml:space="preserve">, № </w:t>
      </w:r>
      <w:r w:rsidR="00303F2B">
        <w:rPr>
          <w:sz w:val="27"/>
          <w:szCs w:val="27"/>
        </w:rPr>
        <w:t>122</w:t>
      </w:r>
      <w:r w:rsidRPr="003A749E">
        <w:rPr>
          <w:sz w:val="27"/>
          <w:szCs w:val="27"/>
        </w:rPr>
        <w:t xml:space="preserve"> </w:t>
      </w:r>
      <w:r w:rsidR="00BC2DEF" w:rsidRPr="003A749E">
        <w:rPr>
          <w:sz w:val="27"/>
          <w:szCs w:val="27"/>
        </w:rPr>
        <w:t>(</w:t>
      </w:r>
      <w:r w:rsidR="004D0E54" w:rsidRPr="003A749E">
        <w:rPr>
          <w:sz w:val="27"/>
          <w:szCs w:val="27"/>
        </w:rPr>
        <w:t>регистрационны</w:t>
      </w:r>
      <w:r w:rsidR="0053126A" w:rsidRPr="003A749E">
        <w:rPr>
          <w:sz w:val="27"/>
          <w:szCs w:val="27"/>
        </w:rPr>
        <w:t xml:space="preserve">е </w:t>
      </w:r>
      <w:r w:rsidR="004D0E54" w:rsidRPr="003A749E">
        <w:rPr>
          <w:sz w:val="27"/>
          <w:szCs w:val="27"/>
        </w:rPr>
        <w:t xml:space="preserve">№ </w:t>
      </w:r>
      <w:r w:rsidR="00F766BC">
        <w:rPr>
          <w:sz w:val="27"/>
          <w:szCs w:val="27"/>
        </w:rPr>
        <w:t xml:space="preserve">4084, № </w:t>
      </w:r>
      <w:r w:rsidR="00303F2B">
        <w:rPr>
          <w:sz w:val="27"/>
          <w:szCs w:val="27"/>
        </w:rPr>
        <w:t xml:space="preserve">4085 </w:t>
      </w:r>
      <w:r w:rsidR="004D0E54" w:rsidRPr="003A749E">
        <w:rPr>
          <w:sz w:val="27"/>
          <w:szCs w:val="27"/>
        </w:rPr>
        <w:t xml:space="preserve">от </w:t>
      </w:r>
      <w:r w:rsidR="0053126A" w:rsidRPr="003A749E">
        <w:rPr>
          <w:sz w:val="27"/>
          <w:szCs w:val="27"/>
        </w:rPr>
        <w:t>29</w:t>
      </w:r>
      <w:r w:rsidR="004D0E54" w:rsidRPr="003A749E">
        <w:rPr>
          <w:sz w:val="27"/>
          <w:szCs w:val="27"/>
        </w:rPr>
        <w:t>.04.2020</w:t>
      </w:r>
      <w:r w:rsidRPr="003A749E">
        <w:rPr>
          <w:sz w:val="27"/>
          <w:szCs w:val="27"/>
        </w:rPr>
        <w:t xml:space="preserve">) </w:t>
      </w:r>
      <w:r w:rsidR="00303F2B">
        <w:rPr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F4076E" w:rsidRPr="003A749E">
        <w:rPr>
          <w:sz w:val="27"/>
          <w:szCs w:val="27"/>
        </w:rPr>
        <w:t xml:space="preserve">(ОГРН </w:t>
      </w:r>
      <w:r w:rsidR="00303F2B">
        <w:rPr>
          <w:sz w:val="27"/>
          <w:szCs w:val="27"/>
        </w:rPr>
        <w:t>1183025002819</w:t>
      </w:r>
      <w:r w:rsidR="00F4076E" w:rsidRPr="003A749E">
        <w:rPr>
          <w:sz w:val="27"/>
          <w:szCs w:val="27"/>
        </w:rPr>
        <w:t>)</w:t>
      </w:r>
      <w:r w:rsidRPr="003A749E">
        <w:rPr>
          <w:sz w:val="27"/>
          <w:szCs w:val="27"/>
        </w:rPr>
        <w:t xml:space="preserve"> при расчете тариф</w:t>
      </w:r>
      <w:r w:rsidR="0053126A" w:rsidRPr="003A749E">
        <w:rPr>
          <w:sz w:val="27"/>
          <w:szCs w:val="27"/>
        </w:rPr>
        <w:t>ов</w:t>
      </w:r>
      <w:r w:rsidRPr="003A749E">
        <w:rPr>
          <w:sz w:val="27"/>
          <w:szCs w:val="27"/>
        </w:rPr>
        <w:t xml:space="preserve"> на </w:t>
      </w:r>
      <w:r w:rsidR="00303F2B">
        <w:rPr>
          <w:sz w:val="27"/>
          <w:szCs w:val="27"/>
        </w:rPr>
        <w:t>питьевую</w:t>
      </w:r>
      <w:r w:rsidRPr="003A749E">
        <w:rPr>
          <w:sz w:val="27"/>
          <w:szCs w:val="27"/>
        </w:rPr>
        <w:t xml:space="preserve"> воду</w:t>
      </w:r>
      <w:r w:rsidR="0053126A" w:rsidRPr="003A749E">
        <w:rPr>
          <w:sz w:val="27"/>
          <w:szCs w:val="27"/>
        </w:rPr>
        <w:t xml:space="preserve"> и водоотведение</w:t>
      </w:r>
      <w:r w:rsidRPr="003A749E">
        <w:rPr>
          <w:sz w:val="27"/>
          <w:szCs w:val="27"/>
        </w:rPr>
        <w:t xml:space="preserve"> предложен метод индексации.</w:t>
      </w:r>
    </w:p>
    <w:p w:rsidR="00F4076E" w:rsidRPr="003A749E" w:rsidRDefault="00303F2B" w:rsidP="00F4076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>
        <w:rPr>
          <w:sz w:val="27"/>
          <w:szCs w:val="27"/>
        </w:rPr>
        <w:t>1183025002819</w:t>
      </w:r>
      <w:r w:rsidR="00594EFE" w:rsidRPr="003A749E">
        <w:rPr>
          <w:sz w:val="27"/>
          <w:szCs w:val="27"/>
        </w:rPr>
        <w:t>)</w:t>
      </w:r>
      <w:r w:rsidR="00F4076E" w:rsidRPr="003A749E">
        <w:rPr>
          <w:bCs/>
          <w:sz w:val="27"/>
          <w:szCs w:val="27"/>
        </w:rPr>
        <w:t xml:space="preserve"> </w:t>
      </w:r>
      <w:r w:rsidR="00F4076E" w:rsidRPr="003A749E">
        <w:rPr>
          <w:sz w:val="27"/>
          <w:szCs w:val="27"/>
        </w:rPr>
        <w:t>предлагается к установлению следующие тарифы на:</w:t>
      </w:r>
    </w:p>
    <w:p w:rsidR="00F4076E" w:rsidRPr="003A749E" w:rsidRDefault="00F4076E" w:rsidP="00F4076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303F2B">
        <w:rPr>
          <w:sz w:val="27"/>
          <w:szCs w:val="27"/>
        </w:rPr>
        <w:t>питьеву</w:t>
      </w:r>
      <w:r w:rsidRPr="003A749E">
        <w:rPr>
          <w:sz w:val="27"/>
          <w:szCs w:val="27"/>
        </w:rPr>
        <w:t>ю воду с календарной разбивкой: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01.01.2021 по 30.06.2021 – </w:t>
      </w:r>
      <w:r w:rsidR="00303F2B">
        <w:rPr>
          <w:bCs/>
          <w:sz w:val="27"/>
          <w:szCs w:val="27"/>
          <w:lang w:eastAsia="x-none"/>
        </w:rPr>
        <w:t>52,05</w:t>
      </w:r>
      <w:r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</w:t>
      </w:r>
      <w:r w:rsidR="00303F2B">
        <w:rPr>
          <w:bCs/>
          <w:sz w:val="27"/>
          <w:szCs w:val="27"/>
          <w:lang w:eastAsia="x-none"/>
        </w:rPr>
        <w:t>01.07.2021 по 31.12.2021 – 53,92</w:t>
      </w:r>
      <w:r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303F2B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>
        <w:rPr>
          <w:bCs/>
          <w:sz w:val="27"/>
          <w:szCs w:val="27"/>
          <w:lang w:eastAsia="x-none"/>
        </w:rPr>
        <w:t>с 01.01.2022 по 30.06.2022 – 54,11</w:t>
      </w:r>
      <w:r w:rsidR="00594EFE"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</w:t>
      </w:r>
      <w:r w:rsidR="00303F2B">
        <w:rPr>
          <w:bCs/>
          <w:sz w:val="27"/>
          <w:szCs w:val="27"/>
          <w:lang w:eastAsia="x-none"/>
        </w:rPr>
        <w:t>01.07.2022 по 31.12.2022 – 53,76</w:t>
      </w:r>
      <w:r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>с 01.01.2023 по 30.06.</w:t>
      </w:r>
      <w:r w:rsidR="00303F2B">
        <w:rPr>
          <w:bCs/>
          <w:sz w:val="27"/>
          <w:szCs w:val="27"/>
          <w:lang w:eastAsia="x-none"/>
        </w:rPr>
        <w:t>2023 – 54,62</w:t>
      </w:r>
      <w:r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</w:t>
      </w:r>
      <w:r w:rsidR="00303F2B">
        <w:rPr>
          <w:bCs/>
          <w:sz w:val="27"/>
          <w:szCs w:val="27"/>
          <w:lang w:eastAsia="x-none"/>
        </w:rPr>
        <w:t>01.07.2023 по 31.12.2023 – 54,28 руб./куб. м. (без НДС).</w:t>
      </w:r>
    </w:p>
    <w:p w:rsidR="00594EFE" w:rsidRPr="003A749E" w:rsidRDefault="00594EFE" w:rsidP="00594EF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- водоотведение с календарной разбивкой: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01.01.2021 по 30.06.2021 – </w:t>
      </w:r>
      <w:r w:rsidR="00303F2B">
        <w:rPr>
          <w:bCs/>
          <w:sz w:val="27"/>
          <w:szCs w:val="27"/>
          <w:lang w:eastAsia="x-none"/>
        </w:rPr>
        <w:t>95,07</w:t>
      </w:r>
      <w:r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</w:t>
      </w:r>
      <w:r w:rsidR="00303F2B">
        <w:rPr>
          <w:bCs/>
          <w:sz w:val="27"/>
          <w:szCs w:val="27"/>
          <w:lang w:eastAsia="x-none"/>
        </w:rPr>
        <w:t>01.07.2021 по 31.12.2021 – 94,77</w:t>
      </w:r>
      <w:r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>с 01.01.2022 по 30.06</w:t>
      </w:r>
      <w:r w:rsidR="00303F2B">
        <w:rPr>
          <w:bCs/>
          <w:sz w:val="27"/>
          <w:szCs w:val="27"/>
          <w:lang w:eastAsia="x-none"/>
        </w:rPr>
        <w:t>.2022 – 96,12</w:t>
      </w:r>
      <w:r w:rsidRPr="003A749E">
        <w:rPr>
          <w:bCs/>
          <w:sz w:val="27"/>
          <w:szCs w:val="27"/>
          <w:lang w:eastAsia="x-none"/>
        </w:rPr>
        <w:t xml:space="preserve"> 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</w:t>
      </w:r>
      <w:r w:rsidR="00303F2B">
        <w:rPr>
          <w:bCs/>
          <w:sz w:val="27"/>
          <w:szCs w:val="27"/>
          <w:lang w:eastAsia="x-none"/>
        </w:rPr>
        <w:t>01.07.2022 по 31.12.2022 – 95,69</w:t>
      </w:r>
      <w:r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</w:t>
      </w:r>
      <w:r w:rsidR="00303F2B">
        <w:rPr>
          <w:bCs/>
          <w:sz w:val="27"/>
          <w:szCs w:val="27"/>
          <w:lang w:eastAsia="x-none"/>
        </w:rPr>
        <w:t>01.01.2023 по 30.06.2023 – 96,32</w:t>
      </w:r>
      <w:r w:rsidRPr="003A749E">
        <w:rPr>
          <w:bCs/>
          <w:sz w:val="27"/>
          <w:szCs w:val="27"/>
          <w:lang w:eastAsia="x-none"/>
        </w:rPr>
        <w:t xml:space="preserve"> руб./куб. м. (без НДС);</w:t>
      </w:r>
    </w:p>
    <w:p w:rsidR="00594EFE" w:rsidRPr="003A749E" w:rsidRDefault="00594EFE" w:rsidP="00594EF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x-none"/>
        </w:rPr>
      </w:pPr>
      <w:r w:rsidRPr="003A749E">
        <w:rPr>
          <w:bCs/>
          <w:sz w:val="27"/>
          <w:szCs w:val="27"/>
          <w:lang w:eastAsia="x-none"/>
        </w:rPr>
        <w:t xml:space="preserve">с </w:t>
      </w:r>
      <w:r w:rsidR="00303F2B">
        <w:rPr>
          <w:bCs/>
          <w:sz w:val="27"/>
          <w:szCs w:val="27"/>
          <w:lang w:eastAsia="x-none"/>
        </w:rPr>
        <w:t>01.07.2023 по 31.12.2023 – 96,09 руб./куб. м. (без НДС).</w:t>
      </w:r>
    </w:p>
    <w:p w:rsidR="00914B90" w:rsidRPr="003A749E" w:rsidRDefault="00914B90" w:rsidP="00914B90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В соответствии с пунктом 31 Основ ценообразования в сфере водоснабжения и водоотведения, утвержденных постановлением Правительства РФ от 13.05.2013 № 406</w:t>
      </w:r>
      <w:r w:rsidR="00E7051C" w:rsidRPr="003A749E">
        <w:rPr>
          <w:sz w:val="27"/>
          <w:szCs w:val="27"/>
        </w:rPr>
        <w:t>,</w:t>
      </w:r>
      <w:r w:rsidRPr="003A749E">
        <w:rPr>
          <w:sz w:val="27"/>
          <w:szCs w:val="27"/>
        </w:rPr>
        <w:t xml:space="preserve"> приказом службы по тарифам Астраханской области от </w:t>
      </w:r>
      <w:r w:rsidR="004D0E54" w:rsidRPr="003A749E">
        <w:rPr>
          <w:sz w:val="27"/>
          <w:szCs w:val="27"/>
        </w:rPr>
        <w:t>15.05.2020 № 1</w:t>
      </w:r>
      <w:r w:rsidR="00594EFE" w:rsidRPr="003A749E">
        <w:rPr>
          <w:sz w:val="27"/>
          <w:szCs w:val="27"/>
        </w:rPr>
        <w:t>58</w:t>
      </w:r>
      <w:r w:rsidR="004D0E54" w:rsidRPr="003A749E">
        <w:rPr>
          <w:sz w:val="27"/>
          <w:szCs w:val="27"/>
        </w:rPr>
        <w:t xml:space="preserve"> (в редакции приказа службы по тарифам Астраханской области № </w:t>
      </w:r>
      <w:r w:rsidR="00594EFE" w:rsidRPr="003A749E">
        <w:rPr>
          <w:sz w:val="27"/>
          <w:szCs w:val="27"/>
        </w:rPr>
        <w:t>248</w:t>
      </w:r>
      <w:r w:rsidR="004D0E54" w:rsidRPr="003A749E">
        <w:rPr>
          <w:sz w:val="27"/>
          <w:szCs w:val="27"/>
        </w:rPr>
        <w:t xml:space="preserve"> от 0</w:t>
      </w:r>
      <w:r w:rsidR="00594EFE" w:rsidRPr="003A749E">
        <w:rPr>
          <w:sz w:val="27"/>
          <w:szCs w:val="27"/>
        </w:rPr>
        <w:t>2</w:t>
      </w:r>
      <w:r w:rsidR="004D0E54" w:rsidRPr="003A749E">
        <w:rPr>
          <w:sz w:val="27"/>
          <w:szCs w:val="27"/>
        </w:rPr>
        <w:t>.10.2020)</w:t>
      </w:r>
      <w:r w:rsidRPr="003A749E">
        <w:rPr>
          <w:sz w:val="27"/>
          <w:szCs w:val="27"/>
        </w:rPr>
        <w:t xml:space="preserve"> методом регулирования тарифов в сфере холодного водоснабжения</w:t>
      </w:r>
      <w:r w:rsidR="00594EFE" w:rsidRPr="003A749E">
        <w:rPr>
          <w:sz w:val="27"/>
          <w:szCs w:val="27"/>
        </w:rPr>
        <w:t xml:space="preserve"> и водоотведения</w:t>
      </w:r>
      <w:r w:rsidRPr="003A749E">
        <w:rPr>
          <w:sz w:val="27"/>
          <w:szCs w:val="27"/>
        </w:rPr>
        <w:t xml:space="preserve"> </w:t>
      </w:r>
      <w:r w:rsidR="00303F2B">
        <w:rPr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303F2B">
        <w:rPr>
          <w:sz w:val="27"/>
          <w:szCs w:val="27"/>
        </w:rPr>
        <w:t>1183025002819</w:t>
      </w:r>
      <w:r w:rsidR="00594EFE" w:rsidRPr="003A749E">
        <w:rPr>
          <w:sz w:val="27"/>
          <w:szCs w:val="27"/>
        </w:rPr>
        <w:t>)</w:t>
      </w:r>
      <w:r w:rsidR="00DC76C5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на долгосрочный период регулирования выбран метод индексации.</w:t>
      </w:r>
    </w:p>
    <w:p w:rsidR="00914B90" w:rsidRPr="003A749E" w:rsidRDefault="00914B90" w:rsidP="00914B90">
      <w:pPr>
        <w:tabs>
          <w:tab w:val="left" w:pos="142"/>
          <w:tab w:val="left" w:pos="993"/>
        </w:tabs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При установлении тариф</w:t>
      </w:r>
      <w:r w:rsidR="00677562" w:rsidRPr="003A749E">
        <w:rPr>
          <w:sz w:val="27"/>
          <w:szCs w:val="27"/>
        </w:rPr>
        <w:t>а</w:t>
      </w:r>
      <w:r w:rsidRPr="003A749E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594EFE" w:rsidRPr="00127030" w:rsidRDefault="00594EFE" w:rsidP="00594EFE">
      <w:pPr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lastRenderedPageBreak/>
        <w:t xml:space="preserve">В результате проведенной экспертизы материалов, представленных для установления </w:t>
      </w:r>
      <w:r w:rsidR="00303F2B">
        <w:rPr>
          <w:bCs/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bCs/>
          <w:sz w:val="27"/>
          <w:szCs w:val="27"/>
        </w:rPr>
        <w:t xml:space="preserve"> </w:t>
      </w:r>
      <w:r w:rsidRPr="003A749E">
        <w:rPr>
          <w:bCs/>
          <w:sz w:val="27"/>
          <w:szCs w:val="27"/>
        </w:rPr>
        <w:t xml:space="preserve">(ОГРН </w:t>
      </w:r>
      <w:r w:rsidR="00303F2B">
        <w:rPr>
          <w:bCs/>
          <w:sz w:val="27"/>
          <w:szCs w:val="27"/>
        </w:rPr>
        <w:t>1183025002819</w:t>
      </w:r>
      <w:r w:rsidRPr="003A749E">
        <w:rPr>
          <w:bCs/>
          <w:sz w:val="27"/>
          <w:szCs w:val="27"/>
        </w:rPr>
        <w:t xml:space="preserve">) </w:t>
      </w:r>
      <w:r w:rsidRPr="003A749E">
        <w:rPr>
          <w:sz w:val="27"/>
          <w:szCs w:val="27"/>
        </w:rPr>
        <w:t xml:space="preserve">тарифов в сфере холодного водоснабжения и водоотведения на </w:t>
      </w:r>
      <w:r w:rsidRPr="00127030">
        <w:rPr>
          <w:sz w:val="27"/>
          <w:szCs w:val="27"/>
        </w:rPr>
        <w:t>долгосрочный период регулирования, экспертной группой предлагается к установлению:</w:t>
      </w:r>
    </w:p>
    <w:p w:rsidR="00594EFE" w:rsidRPr="00127030" w:rsidRDefault="00594EFE" w:rsidP="00594EFE">
      <w:pPr>
        <w:pStyle w:val="aa"/>
        <w:numPr>
          <w:ilvl w:val="0"/>
          <w:numId w:val="22"/>
        </w:numPr>
        <w:jc w:val="both"/>
        <w:rPr>
          <w:sz w:val="27"/>
          <w:szCs w:val="27"/>
        </w:rPr>
      </w:pPr>
      <w:r w:rsidRPr="00127030">
        <w:rPr>
          <w:sz w:val="27"/>
          <w:szCs w:val="27"/>
        </w:rPr>
        <w:t xml:space="preserve">Одноставочный тариф на </w:t>
      </w:r>
      <w:r w:rsidR="00F766BC" w:rsidRPr="00127030">
        <w:rPr>
          <w:sz w:val="27"/>
          <w:szCs w:val="27"/>
        </w:rPr>
        <w:t>питьевую</w:t>
      </w:r>
      <w:r w:rsidRPr="00127030">
        <w:rPr>
          <w:sz w:val="27"/>
          <w:szCs w:val="27"/>
        </w:rPr>
        <w:t xml:space="preserve"> воду с календарной разбивкой:</w:t>
      </w:r>
    </w:p>
    <w:p w:rsidR="00117F7D" w:rsidRPr="00A325DF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A325DF">
        <w:rPr>
          <w:bCs/>
          <w:sz w:val="26"/>
          <w:szCs w:val="26"/>
          <w:lang w:eastAsia="x-none"/>
        </w:rPr>
        <w:t xml:space="preserve">с 01.01.2021 по 30.06.2021 – </w:t>
      </w:r>
      <w:r w:rsidR="00A9611F">
        <w:rPr>
          <w:bCs/>
          <w:sz w:val="26"/>
          <w:szCs w:val="26"/>
          <w:lang w:eastAsia="x-none"/>
        </w:rPr>
        <w:t>49,24</w:t>
      </w:r>
      <w:r w:rsidRPr="00A325DF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A325DF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A325DF">
        <w:rPr>
          <w:bCs/>
          <w:sz w:val="26"/>
          <w:szCs w:val="26"/>
          <w:lang w:eastAsia="x-none"/>
        </w:rPr>
        <w:t xml:space="preserve">с 01.07.2021 по 31.12.2021 – </w:t>
      </w:r>
      <w:r w:rsidR="00A9611F">
        <w:rPr>
          <w:bCs/>
          <w:sz w:val="26"/>
          <w:szCs w:val="26"/>
          <w:lang w:eastAsia="x-none"/>
        </w:rPr>
        <w:t>49,24</w:t>
      </w:r>
      <w:r w:rsidRPr="00A325DF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A325DF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A325DF">
        <w:rPr>
          <w:bCs/>
          <w:sz w:val="26"/>
          <w:szCs w:val="26"/>
          <w:lang w:eastAsia="x-none"/>
        </w:rPr>
        <w:t xml:space="preserve">с 01.01.2022 по 30.06.2022 – </w:t>
      </w:r>
      <w:r w:rsidR="00E16FE6">
        <w:rPr>
          <w:bCs/>
          <w:sz w:val="26"/>
          <w:szCs w:val="26"/>
          <w:lang w:eastAsia="x-none"/>
        </w:rPr>
        <w:t>46,90</w:t>
      </w:r>
      <w:r w:rsidRPr="00A325DF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A325DF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A325DF">
        <w:rPr>
          <w:bCs/>
          <w:sz w:val="26"/>
          <w:szCs w:val="26"/>
          <w:lang w:eastAsia="x-none"/>
        </w:rPr>
        <w:t xml:space="preserve">с 01.07.2022 по 31.12.2022 – </w:t>
      </w:r>
      <w:r w:rsidR="00E16FE6">
        <w:rPr>
          <w:bCs/>
          <w:sz w:val="26"/>
          <w:szCs w:val="26"/>
          <w:lang w:eastAsia="x-none"/>
        </w:rPr>
        <w:t>46,90</w:t>
      </w:r>
      <w:r w:rsidRPr="00A325DF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A325DF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A325DF">
        <w:rPr>
          <w:bCs/>
          <w:sz w:val="26"/>
          <w:szCs w:val="26"/>
          <w:lang w:eastAsia="x-none"/>
        </w:rPr>
        <w:t xml:space="preserve">с 01.01.2023 по 30.06.2023 – </w:t>
      </w:r>
      <w:r w:rsidR="00E16FE6">
        <w:rPr>
          <w:bCs/>
          <w:sz w:val="26"/>
          <w:szCs w:val="26"/>
          <w:lang w:eastAsia="x-none"/>
        </w:rPr>
        <w:t>43,03</w:t>
      </w:r>
      <w:r w:rsidRPr="00A325DF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472E16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A325DF">
        <w:rPr>
          <w:bCs/>
          <w:sz w:val="26"/>
          <w:szCs w:val="26"/>
          <w:lang w:eastAsia="x-none"/>
        </w:rPr>
        <w:t xml:space="preserve">с 01.07.2023 по 31.12.2023 – </w:t>
      </w:r>
      <w:r w:rsidR="00E16FE6">
        <w:rPr>
          <w:bCs/>
          <w:sz w:val="26"/>
          <w:szCs w:val="26"/>
          <w:lang w:eastAsia="x-none"/>
        </w:rPr>
        <w:t>43,03</w:t>
      </w:r>
      <w:r w:rsidRPr="00A325DF">
        <w:rPr>
          <w:bCs/>
          <w:sz w:val="26"/>
          <w:szCs w:val="26"/>
          <w:lang w:eastAsia="x-none"/>
        </w:rPr>
        <w:t xml:space="preserve"> руб./куб. м. (без НДС).</w:t>
      </w:r>
    </w:p>
    <w:p w:rsidR="00594EFE" w:rsidRPr="00127030" w:rsidRDefault="00594EFE" w:rsidP="00594EFE">
      <w:pPr>
        <w:pStyle w:val="aa"/>
        <w:numPr>
          <w:ilvl w:val="0"/>
          <w:numId w:val="22"/>
        </w:numPr>
        <w:tabs>
          <w:tab w:val="left" w:pos="993"/>
        </w:tabs>
        <w:jc w:val="both"/>
        <w:rPr>
          <w:sz w:val="27"/>
          <w:szCs w:val="27"/>
        </w:rPr>
      </w:pPr>
      <w:r w:rsidRPr="00127030">
        <w:rPr>
          <w:sz w:val="27"/>
          <w:szCs w:val="27"/>
        </w:rPr>
        <w:t>Одноставочный тариф на водоотведение с календарной разбивкой:</w:t>
      </w:r>
    </w:p>
    <w:p w:rsidR="00117F7D" w:rsidRPr="00472E16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72E16">
        <w:rPr>
          <w:bCs/>
          <w:sz w:val="26"/>
          <w:szCs w:val="26"/>
          <w:lang w:eastAsia="x-none"/>
        </w:rPr>
        <w:t xml:space="preserve">с 01.01.2021 по 30.06.2021 – </w:t>
      </w:r>
      <w:r w:rsidR="001F5585">
        <w:rPr>
          <w:bCs/>
          <w:sz w:val="26"/>
          <w:szCs w:val="26"/>
          <w:lang w:eastAsia="x-none"/>
        </w:rPr>
        <w:t>78,64</w:t>
      </w:r>
      <w:r w:rsidRPr="00472E16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472E16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72E16">
        <w:rPr>
          <w:bCs/>
          <w:sz w:val="26"/>
          <w:szCs w:val="26"/>
          <w:lang w:eastAsia="x-none"/>
        </w:rPr>
        <w:t xml:space="preserve">с 01.07.2021 по 31.12.2021 – </w:t>
      </w:r>
      <w:r w:rsidR="001F5585">
        <w:rPr>
          <w:bCs/>
          <w:sz w:val="26"/>
          <w:szCs w:val="26"/>
          <w:lang w:eastAsia="x-none"/>
        </w:rPr>
        <w:t>78,64</w:t>
      </w:r>
      <w:r w:rsidRPr="00472E16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472E16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72E16">
        <w:rPr>
          <w:bCs/>
          <w:sz w:val="26"/>
          <w:szCs w:val="26"/>
          <w:lang w:eastAsia="x-none"/>
        </w:rPr>
        <w:t xml:space="preserve">с 01.01.2022 по 30.06.2022 – </w:t>
      </w:r>
      <w:r w:rsidR="001F5585">
        <w:rPr>
          <w:bCs/>
          <w:sz w:val="26"/>
          <w:szCs w:val="26"/>
          <w:lang w:eastAsia="x-none"/>
        </w:rPr>
        <w:t>78,64</w:t>
      </w:r>
      <w:r w:rsidRPr="00472E16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472E16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72E16">
        <w:rPr>
          <w:bCs/>
          <w:sz w:val="26"/>
          <w:szCs w:val="26"/>
          <w:lang w:eastAsia="x-none"/>
        </w:rPr>
        <w:t xml:space="preserve">с 01.07.2022 по 31.12.2022 – </w:t>
      </w:r>
      <w:r w:rsidR="00E16FE6">
        <w:rPr>
          <w:bCs/>
          <w:sz w:val="26"/>
          <w:szCs w:val="26"/>
          <w:lang w:eastAsia="x-none"/>
        </w:rPr>
        <w:t>78,97</w:t>
      </w:r>
      <w:r w:rsidRPr="00472E16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Pr="00472E16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72E16">
        <w:rPr>
          <w:bCs/>
          <w:sz w:val="26"/>
          <w:szCs w:val="26"/>
          <w:lang w:eastAsia="x-none"/>
        </w:rPr>
        <w:t xml:space="preserve">с 01.01.2023 по 30.06.2023 – </w:t>
      </w:r>
      <w:r w:rsidR="00E16FE6">
        <w:rPr>
          <w:bCs/>
          <w:sz w:val="26"/>
          <w:szCs w:val="26"/>
          <w:lang w:eastAsia="x-none"/>
        </w:rPr>
        <w:t>78,97</w:t>
      </w:r>
      <w:r w:rsidRPr="00472E16">
        <w:rPr>
          <w:bCs/>
          <w:sz w:val="26"/>
          <w:szCs w:val="26"/>
          <w:lang w:eastAsia="x-none"/>
        </w:rPr>
        <w:t xml:space="preserve"> руб./куб. м. (без НДС);</w:t>
      </w:r>
    </w:p>
    <w:p w:rsidR="00117F7D" w:rsidRDefault="00117F7D" w:rsidP="00117F7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72E16">
        <w:rPr>
          <w:bCs/>
          <w:sz w:val="26"/>
          <w:szCs w:val="26"/>
          <w:lang w:eastAsia="x-none"/>
        </w:rPr>
        <w:t xml:space="preserve">с 01.07.2023 по 31.12.2023 – </w:t>
      </w:r>
      <w:r w:rsidR="00E16FE6">
        <w:rPr>
          <w:bCs/>
          <w:sz w:val="26"/>
          <w:szCs w:val="26"/>
          <w:lang w:eastAsia="x-none"/>
        </w:rPr>
        <w:t>80,62</w:t>
      </w:r>
      <w:r w:rsidRPr="00472E16">
        <w:rPr>
          <w:bCs/>
          <w:sz w:val="26"/>
          <w:szCs w:val="26"/>
          <w:lang w:eastAsia="x-none"/>
        </w:rPr>
        <w:t xml:space="preserve"> руб./куб. м. (</w:t>
      </w:r>
      <w:r>
        <w:rPr>
          <w:bCs/>
          <w:sz w:val="26"/>
          <w:szCs w:val="26"/>
          <w:lang w:eastAsia="x-none"/>
        </w:rPr>
        <w:t>без НДС).</w:t>
      </w:r>
    </w:p>
    <w:p w:rsidR="00B0313F" w:rsidRPr="003A749E" w:rsidRDefault="00B0313F" w:rsidP="00B0313F">
      <w:pPr>
        <w:ind w:firstLine="720"/>
        <w:jc w:val="both"/>
        <w:rPr>
          <w:sz w:val="27"/>
          <w:szCs w:val="27"/>
        </w:rPr>
      </w:pPr>
      <w:r w:rsidRPr="00127030">
        <w:rPr>
          <w:sz w:val="27"/>
          <w:szCs w:val="27"/>
        </w:rPr>
        <w:t>С проектом постановления службы п</w:t>
      </w:r>
      <w:r w:rsidR="0025084C" w:rsidRPr="00127030">
        <w:rPr>
          <w:sz w:val="27"/>
          <w:szCs w:val="27"/>
        </w:rPr>
        <w:t>о тарифам Астраханской</w:t>
      </w:r>
      <w:r w:rsidR="0025084C" w:rsidRPr="003A749E">
        <w:rPr>
          <w:sz w:val="27"/>
          <w:szCs w:val="27"/>
        </w:rPr>
        <w:t xml:space="preserve"> области </w:t>
      </w:r>
      <w:r w:rsidRPr="003A749E">
        <w:rPr>
          <w:sz w:val="27"/>
          <w:szCs w:val="27"/>
        </w:rPr>
        <w:t xml:space="preserve">и экспертным заключением представители </w:t>
      </w:r>
      <w:r w:rsidR="00303F2B">
        <w:rPr>
          <w:bCs/>
          <w:sz w:val="27"/>
          <w:szCs w:val="27"/>
        </w:rPr>
        <w:t xml:space="preserve">МУП ЖКХ «Ахтубинские водопроводы» МО «Ахтубинский </w:t>
      </w:r>
      <w:r w:rsidR="00303F2B" w:rsidRPr="005C462E">
        <w:rPr>
          <w:bCs/>
          <w:sz w:val="27"/>
          <w:szCs w:val="27"/>
        </w:rPr>
        <w:t>район»</w:t>
      </w:r>
      <w:r w:rsidR="0053126A" w:rsidRPr="005C462E">
        <w:rPr>
          <w:bCs/>
          <w:sz w:val="27"/>
          <w:szCs w:val="27"/>
        </w:rPr>
        <w:t xml:space="preserve"> </w:t>
      </w:r>
      <w:r w:rsidR="005C462E" w:rsidRPr="005C462E">
        <w:rPr>
          <w:sz w:val="27"/>
          <w:szCs w:val="27"/>
        </w:rPr>
        <w:t>07</w:t>
      </w:r>
      <w:r w:rsidR="00D22B25" w:rsidRPr="005C462E">
        <w:rPr>
          <w:sz w:val="27"/>
          <w:szCs w:val="27"/>
        </w:rPr>
        <w:t>.1</w:t>
      </w:r>
      <w:r w:rsidR="00303F2B" w:rsidRPr="005C462E">
        <w:rPr>
          <w:sz w:val="27"/>
          <w:szCs w:val="27"/>
        </w:rPr>
        <w:t>2</w:t>
      </w:r>
      <w:r w:rsidR="00D22B25" w:rsidRPr="005C462E">
        <w:rPr>
          <w:sz w:val="27"/>
          <w:szCs w:val="27"/>
        </w:rPr>
        <w:t xml:space="preserve">.2020 </w:t>
      </w:r>
      <w:r w:rsidRPr="005C462E">
        <w:rPr>
          <w:sz w:val="27"/>
          <w:szCs w:val="27"/>
        </w:rPr>
        <w:t>ознакомлены</w:t>
      </w:r>
      <w:r w:rsidRPr="003A749E">
        <w:rPr>
          <w:sz w:val="27"/>
          <w:szCs w:val="27"/>
        </w:rPr>
        <w:t xml:space="preserve"> </w:t>
      </w:r>
      <w:r w:rsidR="00D22B25" w:rsidRPr="003A749E">
        <w:rPr>
          <w:sz w:val="27"/>
          <w:szCs w:val="27"/>
        </w:rPr>
        <w:t>и согласны</w:t>
      </w:r>
      <w:r w:rsidRPr="003A749E">
        <w:rPr>
          <w:sz w:val="27"/>
          <w:szCs w:val="27"/>
        </w:rPr>
        <w:t>.</w:t>
      </w:r>
    </w:p>
    <w:p w:rsidR="0025084C" w:rsidRPr="003A749E" w:rsidRDefault="0025084C" w:rsidP="00136E18">
      <w:pPr>
        <w:ind w:firstLine="709"/>
        <w:jc w:val="both"/>
        <w:rPr>
          <w:sz w:val="27"/>
          <w:szCs w:val="27"/>
          <w:highlight w:val="yellow"/>
        </w:rPr>
      </w:pPr>
    </w:p>
    <w:p w:rsidR="00914B90" w:rsidRPr="003A749E" w:rsidRDefault="00914B90" w:rsidP="00136E18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Основные показатели расчета тарифа на </w:t>
      </w:r>
      <w:r w:rsidR="00F766BC">
        <w:rPr>
          <w:sz w:val="27"/>
          <w:szCs w:val="27"/>
        </w:rPr>
        <w:t>питьевую</w:t>
      </w:r>
      <w:r w:rsidRPr="003A749E">
        <w:rPr>
          <w:sz w:val="27"/>
          <w:szCs w:val="27"/>
        </w:rPr>
        <w:t xml:space="preserve"> воду </w:t>
      </w:r>
      <w:r w:rsidR="00303F2B">
        <w:rPr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303F2B">
        <w:rPr>
          <w:sz w:val="27"/>
          <w:szCs w:val="27"/>
        </w:rPr>
        <w:t>1183025002819</w:t>
      </w:r>
      <w:r w:rsidR="00594EFE" w:rsidRPr="003A749E">
        <w:rPr>
          <w:sz w:val="27"/>
          <w:szCs w:val="27"/>
        </w:rPr>
        <w:t>)</w:t>
      </w:r>
      <w:r w:rsidRPr="003A749E">
        <w:rPr>
          <w:sz w:val="27"/>
          <w:szCs w:val="27"/>
        </w:rPr>
        <w:t xml:space="preserve"> на долгосрочный период регулирования сведены в таблицу № 1.</w:t>
      </w:r>
    </w:p>
    <w:p w:rsidR="00BD05E9" w:rsidRPr="003A749E" w:rsidRDefault="00BD05E9" w:rsidP="00BD05E9">
      <w:pPr>
        <w:ind w:firstLine="709"/>
        <w:jc w:val="right"/>
        <w:rPr>
          <w:sz w:val="27"/>
          <w:szCs w:val="27"/>
        </w:rPr>
      </w:pPr>
      <w:r w:rsidRPr="00127030">
        <w:rPr>
          <w:sz w:val="27"/>
          <w:szCs w:val="27"/>
        </w:rPr>
        <w:t xml:space="preserve">Таблица № </w:t>
      </w:r>
      <w:r w:rsidR="00767788" w:rsidRPr="00127030">
        <w:rPr>
          <w:sz w:val="27"/>
          <w:szCs w:val="27"/>
        </w:rPr>
        <w:t>1</w:t>
      </w:r>
    </w:p>
    <w:p w:rsidR="0025084C" w:rsidRPr="0025084C" w:rsidRDefault="0025084C" w:rsidP="00BD05E9">
      <w:pPr>
        <w:ind w:firstLine="709"/>
        <w:jc w:val="right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37"/>
        <w:gridCol w:w="1111"/>
        <w:gridCol w:w="1128"/>
        <w:gridCol w:w="1240"/>
        <w:gridCol w:w="1048"/>
        <w:gridCol w:w="1940"/>
      </w:tblGrid>
      <w:tr w:rsidR="00303F2B" w:rsidRPr="00214333" w:rsidTr="00303F2B">
        <w:trPr>
          <w:tblHeader/>
        </w:trPr>
        <w:tc>
          <w:tcPr>
            <w:tcW w:w="392" w:type="pct"/>
            <w:vMerge w:val="restar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505" w:type="pct"/>
            <w:vMerge w:val="restar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33" w:type="pct"/>
            <w:vMerge w:val="restar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639" w:type="pct"/>
            <w:gridSpan w:val="3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303F2B" w:rsidRPr="00214333" w:rsidTr="00303F2B">
        <w:trPr>
          <w:tblHeader/>
        </w:trPr>
        <w:tc>
          <w:tcPr>
            <w:tcW w:w="392" w:type="pct"/>
            <w:vMerge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Merge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03F2B" w:rsidRPr="00214333" w:rsidRDefault="00303F2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2021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2022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2023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rPr>
          <w:trHeight w:val="1187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F766BC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>
              <w:rPr>
                <w:bCs/>
                <w:sz w:val="20"/>
                <w:szCs w:val="20"/>
              </w:rPr>
              <w:t>МУП ЖКХ «Ахтубинские водопроводы</w:t>
            </w:r>
            <w:r w:rsidRPr="00594EFE">
              <w:rPr>
                <w:bCs/>
                <w:sz w:val="20"/>
                <w:szCs w:val="20"/>
              </w:rPr>
              <w:t>» МО «</w:t>
            </w:r>
            <w:r>
              <w:rPr>
                <w:bCs/>
                <w:sz w:val="20"/>
                <w:szCs w:val="20"/>
              </w:rPr>
              <w:t>Ахтубинский район</w:t>
            </w:r>
            <w:r w:rsidRPr="00594EFE">
              <w:rPr>
                <w:bCs/>
                <w:sz w:val="20"/>
                <w:szCs w:val="20"/>
              </w:rPr>
              <w:t>»</w:t>
            </w:r>
            <w:r w:rsidRPr="00214333">
              <w:rPr>
                <w:bCs/>
                <w:sz w:val="20"/>
                <w:szCs w:val="20"/>
              </w:rPr>
              <w:t>, принятая при ра</w:t>
            </w:r>
            <w:r w:rsidR="00F766BC">
              <w:rPr>
                <w:bCs/>
                <w:sz w:val="20"/>
                <w:szCs w:val="20"/>
              </w:rPr>
              <w:t xml:space="preserve">счете установленного тарифа на питьевую </w:t>
            </w:r>
            <w:r w:rsidRPr="00214333">
              <w:rPr>
                <w:bCs/>
                <w:sz w:val="20"/>
                <w:szCs w:val="20"/>
              </w:rPr>
              <w:t>воду, и основные статьи расходов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214333" w:rsidRDefault="00A9611F" w:rsidP="00117F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18174,27</w:t>
            </w:r>
          </w:p>
        </w:tc>
        <w:tc>
          <w:tcPr>
            <w:tcW w:w="595" w:type="pct"/>
            <w:vAlign w:val="center"/>
          </w:tcPr>
          <w:p w:rsidR="00303F2B" w:rsidRPr="00214333" w:rsidRDefault="00116E88" w:rsidP="00ED73C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19569,06</w:t>
            </w:r>
          </w:p>
        </w:tc>
        <w:tc>
          <w:tcPr>
            <w:tcW w:w="503" w:type="pct"/>
            <w:vAlign w:val="center"/>
          </w:tcPr>
          <w:p w:rsidR="00303F2B" w:rsidRPr="00214333" w:rsidRDefault="00116E88" w:rsidP="00ED73C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20237,96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214333" w:rsidRDefault="00116E88" w:rsidP="00117F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2722,1</w:t>
            </w:r>
            <w:r w:rsidR="00117F7D">
              <w:rPr>
                <w:sz w:val="20"/>
                <w:szCs w:val="20"/>
              </w:rPr>
              <w:t>0</w:t>
            </w:r>
          </w:p>
        </w:tc>
        <w:tc>
          <w:tcPr>
            <w:tcW w:w="595" w:type="pct"/>
            <w:vAlign w:val="center"/>
          </w:tcPr>
          <w:p w:rsidR="00303F2B" w:rsidRPr="00214333" w:rsidRDefault="00116E88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2722,1</w:t>
            </w:r>
            <w:r w:rsidR="00117F7D">
              <w:rPr>
                <w:sz w:val="20"/>
                <w:szCs w:val="20"/>
              </w:rPr>
              <w:t>0</w:t>
            </w:r>
          </w:p>
        </w:tc>
        <w:tc>
          <w:tcPr>
            <w:tcW w:w="503" w:type="pct"/>
            <w:vAlign w:val="center"/>
          </w:tcPr>
          <w:p w:rsidR="00303F2B" w:rsidRPr="00214333" w:rsidRDefault="00116E88" w:rsidP="00117F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2722,1</w:t>
            </w:r>
            <w:r w:rsidR="00117F7D">
              <w:rPr>
                <w:sz w:val="20"/>
                <w:szCs w:val="20"/>
              </w:rPr>
              <w:t>0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B00D1B" w:rsidTr="00303F2B">
        <w:tc>
          <w:tcPr>
            <w:tcW w:w="392" w:type="pct"/>
            <w:vAlign w:val="center"/>
          </w:tcPr>
          <w:p w:rsidR="00303F2B" w:rsidRPr="00B00D1B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B00D1B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B00D1B">
              <w:rPr>
                <w:bCs/>
                <w:sz w:val="20"/>
                <w:szCs w:val="20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533" w:type="pct"/>
            <w:vAlign w:val="center"/>
          </w:tcPr>
          <w:p w:rsidR="00303F2B" w:rsidRPr="00B00D1B" w:rsidRDefault="00303F2B" w:rsidP="00641596">
            <w:pPr>
              <w:jc w:val="center"/>
              <w:rPr>
                <w:sz w:val="20"/>
                <w:szCs w:val="20"/>
              </w:rPr>
            </w:pPr>
            <w:r w:rsidRPr="00B00D1B">
              <w:rPr>
                <w:sz w:val="20"/>
                <w:szCs w:val="20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B00D1B" w:rsidRDefault="00A9611F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2507,56</w:t>
            </w:r>
          </w:p>
        </w:tc>
        <w:tc>
          <w:tcPr>
            <w:tcW w:w="595" w:type="pct"/>
            <w:vAlign w:val="center"/>
          </w:tcPr>
          <w:p w:rsidR="00303F2B" w:rsidRPr="00B00D1B" w:rsidRDefault="00E16FE6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B00D1B" w:rsidRDefault="00E16FE6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-2507,56</w:t>
            </w:r>
          </w:p>
        </w:tc>
        <w:tc>
          <w:tcPr>
            <w:tcW w:w="931" w:type="pct"/>
            <w:vAlign w:val="center"/>
          </w:tcPr>
          <w:p w:rsidR="00303F2B" w:rsidRPr="00B00D1B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ED73CD" w:rsidRDefault="00A9611F" w:rsidP="0046667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466674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403,93</w:t>
            </w:r>
          </w:p>
        </w:tc>
        <w:tc>
          <w:tcPr>
            <w:tcW w:w="595" w:type="pct"/>
            <w:vAlign w:val="center"/>
          </w:tcPr>
          <w:p w:rsidR="00303F2B" w:rsidRPr="00ED73CD" w:rsidRDefault="00E16FE6" w:rsidP="0064159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22291,16</w:t>
            </w:r>
          </w:p>
        </w:tc>
        <w:tc>
          <w:tcPr>
            <w:tcW w:w="503" w:type="pct"/>
            <w:vAlign w:val="center"/>
          </w:tcPr>
          <w:p w:rsidR="00303F2B" w:rsidRPr="00ED73CD" w:rsidRDefault="00E16FE6" w:rsidP="0064159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20452,50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тыс.ку</w:t>
            </w:r>
            <w:r w:rsidRPr="00214333">
              <w:rPr>
                <w:bCs/>
                <w:sz w:val="20"/>
                <w:szCs w:val="20"/>
              </w:rPr>
              <w:t>б.м</w:t>
            </w:r>
          </w:p>
        </w:tc>
        <w:tc>
          <w:tcPr>
            <w:tcW w:w="541" w:type="pct"/>
            <w:vAlign w:val="center"/>
          </w:tcPr>
          <w:p w:rsidR="00303F2B" w:rsidRPr="00214333" w:rsidRDefault="00116E88" w:rsidP="009A29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475,3</w:t>
            </w:r>
            <w:r w:rsidR="00117F7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95" w:type="pct"/>
            <w:vAlign w:val="center"/>
          </w:tcPr>
          <w:p w:rsidR="00303F2B" w:rsidRPr="00214333" w:rsidRDefault="00116E88" w:rsidP="00117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475,3</w:t>
            </w:r>
            <w:r w:rsidR="00117F7D">
              <w:rPr>
                <w:sz w:val="20"/>
                <w:szCs w:val="20"/>
              </w:rPr>
              <w:t>4</w:t>
            </w:r>
          </w:p>
        </w:tc>
        <w:tc>
          <w:tcPr>
            <w:tcW w:w="503" w:type="pct"/>
            <w:vAlign w:val="center"/>
          </w:tcPr>
          <w:p w:rsidR="00303F2B" w:rsidRPr="00214333" w:rsidRDefault="00116E88" w:rsidP="00117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475,3</w:t>
            </w:r>
            <w:r w:rsidR="00117F7D"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3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 xml:space="preserve">ИПЦ, индексы роста цен на </w:t>
            </w:r>
            <w:r w:rsidRPr="00214333">
              <w:rPr>
                <w:bCs/>
                <w:sz w:val="20"/>
                <w:szCs w:val="20"/>
              </w:rPr>
              <w:lastRenderedPageBreak/>
              <w:t>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Х</w:t>
            </w: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103,6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103,9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B35E4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 xml:space="preserve">Индекс цен </w:t>
            </w:r>
            <w:r>
              <w:rPr>
                <w:sz w:val="20"/>
                <w:szCs w:val="20"/>
              </w:rPr>
              <w:t>на покупную воду (</w:t>
            </w:r>
            <w:r w:rsidR="00B35E4B">
              <w:rPr>
                <w:sz w:val="20"/>
                <w:szCs w:val="20"/>
              </w:rPr>
              <w:t>питьевая</w:t>
            </w:r>
            <w:r>
              <w:rPr>
                <w:sz w:val="20"/>
                <w:szCs w:val="20"/>
              </w:rPr>
              <w:t xml:space="preserve"> вода)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60CCA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516E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877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Индекс цен производителей без ТЭК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60CCA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103,3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516EFC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103,5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103,6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03F2B" w:rsidRPr="00214333" w:rsidTr="00127030">
        <w:trPr>
          <w:trHeight w:val="1728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4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127030">
        <w:trPr>
          <w:trHeight w:val="548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214333" w:rsidRDefault="00116E88" w:rsidP="00ED7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1109,28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rPr>
          <w:trHeight w:val="492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rPr>
          <w:trHeight w:val="332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303F2B">
        <w:trPr>
          <w:trHeight w:val="423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кВт-ч/куб. м</w:t>
            </w:r>
          </w:p>
        </w:tc>
        <w:tc>
          <w:tcPr>
            <w:tcW w:w="541" w:type="pct"/>
            <w:vAlign w:val="center"/>
          </w:tcPr>
          <w:p w:rsidR="00303F2B" w:rsidRPr="00214333" w:rsidRDefault="00116E88" w:rsidP="00A7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116E88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116E88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116E88">
        <w:trPr>
          <w:trHeight w:val="752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5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303F2B" w:rsidRPr="00214333" w:rsidTr="00116E88">
        <w:trPr>
          <w:trHeight w:val="2651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6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303F2B" w:rsidRPr="00214333" w:rsidTr="00303F2B">
        <w:trPr>
          <w:trHeight w:val="1189"/>
        </w:trPr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7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03F2B" w:rsidRPr="00214333" w:rsidTr="00127030">
        <w:trPr>
          <w:trHeight w:val="523"/>
        </w:trPr>
        <w:tc>
          <w:tcPr>
            <w:tcW w:w="392" w:type="pct"/>
            <w:vAlign w:val="center"/>
          </w:tcPr>
          <w:p w:rsidR="00303F2B" w:rsidRPr="003310E7" w:rsidRDefault="00303F2B" w:rsidP="001B002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7.1</w:t>
            </w:r>
          </w:p>
        </w:tc>
        <w:tc>
          <w:tcPr>
            <w:tcW w:w="1505" w:type="pct"/>
            <w:vAlign w:val="center"/>
          </w:tcPr>
          <w:p w:rsidR="00303F2B" w:rsidRPr="003310E7" w:rsidRDefault="00127030" w:rsidP="003321E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Текущие расходы</w:t>
            </w:r>
          </w:p>
        </w:tc>
        <w:tc>
          <w:tcPr>
            <w:tcW w:w="533" w:type="pct"/>
            <w:vAlign w:val="center"/>
          </w:tcPr>
          <w:p w:rsidR="00303F2B" w:rsidRPr="003310E7" w:rsidRDefault="00303F2B" w:rsidP="003321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541" w:type="pct"/>
            <w:vAlign w:val="center"/>
          </w:tcPr>
          <w:p w:rsidR="00303F2B" w:rsidRPr="00E24A26" w:rsidRDefault="00A9611F" w:rsidP="003321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11873,04</w:t>
            </w:r>
          </w:p>
        </w:tc>
        <w:tc>
          <w:tcPr>
            <w:tcW w:w="595" w:type="pct"/>
            <w:vAlign w:val="center"/>
          </w:tcPr>
          <w:p w:rsidR="00303F2B" w:rsidRPr="00E24A26" w:rsidRDefault="00127030" w:rsidP="003321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10547,55</w:t>
            </w:r>
          </w:p>
        </w:tc>
        <w:tc>
          <w:tcPr>
            <w:tcW w:w="503" w:type="pct"/>
            <w:vAlign w:val="center"/>
          </w:tcPr>
          <w:p w:rsidR="00303F2B" w:rsidRPr="00E24A26" w:rsidRDefault="00127030" w:rsidP="003321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10481,30</w:t>
            </w:r>
          </w:p>
        </w:tc>
        <w:tc>
          <w:tcPr>
            <w:tcW w:w="931" w:type="pct"/>
            <w:vAlign w:val="center"/>
          </w:tcPr>
          <w:p w:rsidR="00303F2B" w:rsidRPr="003310E7" w:rsidRDefault="00303F2B" w:rsidP="003321E1">
            <w:pPr>
              <w:jc w:val="center"/>
              <w:rPr>
                <w:sz w:val="18"/>
                <w:szCs w:val="18"/>
                <w:highlight w:val="yellow"/>
              </w:rPr>
            </w:pPr>
            <w:r w:rsidRPr="003310E7">
              <w:rPr>
                <w:color w:val="000000"/>
                <w:sz w:val="18"/>
                <w:szCs w:val="18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8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 xml:space="preserve">Перечень и величина параметров, </w:t>
            </w:r>
            <w:r w:rsidRPr="00214333">
              <w:rPr>
                <w:bCs/>
                <w:sz w:val="20"/>
                <w:szCs w:val="20"/>
              </w:rPr>
              <w:lastRenderedPageBreak/>
              <w:t>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 xml:space="preserve">Корректировка не </w:t>
            </w:r>
            <w:r w:rsidRPr="00214333">
              <w:rPr>
                <w:sz w:val="20"/>
                <w:szCs w:val="20"/>
              </w:rPr>
              <w:lastRenderedPageBreak/>
              <w:t>производилась</w:t>
            </w:r>
          </w:p>
        </w:tc>
      </w:tr>
      <w:tr w:rsidR="00303F2B" w:rsidRPr="00214333" w:rsidTr="00303F2B">
        <w:tc>
          <w:tcPr>
            <w:tcW w:w="392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505" w:type="pct"/>
            <w:vAlign w:val="center"/>
          </w:tcPr>
          <w:p w:rsidR="00303F2B" w:rsidRPr="00214333" w:rsidRDefault="00303F2B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53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Align w:val="center"/>
          </w:tcPr>
          <w:p w:rsidR="00303F2B" w:rsidRPr="00214333" w:rsidRDefault="00303F2B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3F6FAE" w:rsidRPr="00214333" w:rsidTr="00303F2B">
        <w:tc>
          <w:tcPr>
            <w:tcW w:w="392" w:type="pct"/>
            <w:vAlign w:val="center"/>
          </w:tcPr>
          <w:p w:rsidR="003F6FAE" w:rsidRPr="00E6077C" w:rsidRDefault="003F6FAE" w:rsidP="0064159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5" w:type="pct"/>
            <w:vAlign w:val="center"/>
          </w:tcPr>
          <w:p w:rsidR="003F6FAE" w:rsidRPr="00E6077C" w:rsidRDefault="003F6FAE" w:rsidP="00641596">
            <w:pPr>
              <w:jc w:val="center"/>
              <w:rPr>
                <w:bCs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533" w:type="pct"/>
            <w:vAlign w:val="center"/>
          </w:tcPr>
          <w:p w:rsidR="003F6FAE" w:rsidRPr="00214333" w:rsidRDefault="003F6FAE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vAlign w:val="center"/>
          </w:tcPr>
          <w:p w:rsidR="003F6FAE" w:rsidRPr="00214333" w:rsidRDefault="003F6FAE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F6FAE" w:rsidRPr="00214333" w:rsidRDefault="003F6FAE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F6FAE" w:rsidRPr="00214333" w:rsidRDefault="003F6FAE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Merge w:val="restart"/>
            <w:vAlign w:val="center"/>
          </w:tcPr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3A749E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</w:t>
            </w:r>
            <w:r w:rsidR="00B35E4B">
              <w:rPr>
                <w:bCs/>
                <w:spacing w:val="-13"/>
                <w:sz w:val="20"/>
                <w:szCs w:val="20"/>
              </w:rPr>
              <w:t>рализованных систем холодного (питьевого</w:t>
            </w:r>
            <w:r w:rsidRPr="003A749E">
              <w:rPr>
                <w:bCs/>
                <w:spacing w:val="-13"/>
                <w:sz w:val="20"/>
                <w:szCs w:val="20"/>
              </w:rPr>
              <w:t>) водоснабжения</w:t>
            </w:r>
          </w:p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3A749E">
              <w:rPr>
                <w:bCs/>
                <w:spacing w:val="-13"/>
                <w:sz w:val="20"/>
                <w:szCs w:val="20"/>
              </w:rPr>
              <w:t>утверждены.</w:t>
            </w:r>
          </w:p>
          <w:p w:rsidR="003F6FAE" w:rsidRPr="00214333" w:rsidRDefault="003F6FAE" w:rsidP="00E16FE6">
            <w:pPr>
              <w:jc w:val="center"/>
              <w:rPr>
                <w:sz w:val="20"/>
                <w:szCs w:val="20"/>
              </w:rPr>
            </w:pPr>
            <w:r w:rsidRPr="003A749E">
              <w:rPr>
                <w:bCs/>
                <w:spacing w:val="-13"/>
                <w:sz w:val="20"/>
                <w:szCs w:val="20"/>
              </w:rPr>
              <w:t xml:space="preserve"> министерством строительства и жилищно-коммунального хозяйства Астраханской области № </w:t>
            </w:r>
            <w:r w:rsidR="00E16FE6">
              <w:rPr>
                <w:bCs/>
                <w:spacing w:val="-13"/>
                <w:sz w:val="20"/>
                <w:szCs w:val="20"/>
              </w:rPr>
              <w:t>411</w:t>
            </w:r>
            <w:r w:rsidRPr="003A749E">
              <w:rPr>
                <w:bCs/>
                <w:spacing w:val="-13"/>
                <w:sz w:val="20"/>
                <w:szCs w:val="20"/>
              </w:rPr>
              <w:t xml:space="preserve"> от</w:t>
            </w:r>
            <w:r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E16FE6">
              <w:rPr>
                <w:bCs/>
                <w:spacing w:val="-13"/>
                <w:sz w:val="20"/>
                <w:szCs w:val="20"/>
              </w:rPr>
              <w:t>08.12.2020</w:t>
            </w:r>
            <w:r w:rsidRPr="00214333">
              <w:rPr>
                <w:bCs/>
                <w:spacing w:val="-13"/>
                <w:sz w:val="20"/>
                <w:szCs w:val="20"/>
                <w:highlight w:val="yellow"/>
              </w:rPr>
              <w:br/>
            </w:r>
          </w:p>
        </w:tc>
      </w:tr>
      <w:tr w:rsidR="003F6FAE" w:rsidRPr="00214333" w:rsidTr="003F6FAE">
        <w:tc>
          <w:tcPr>
            <w:tcW w:w="392" w:type="pct"/>
            <w:vAlign w:val="center"/>
          </w:tcPr>
          <w:p w:rsidR="003F6FAE" w:rsidRPr="004464FA" w:rsidRDefault="003F6FAE" w:rsidP="003F6F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3677" w:type="pct"/>
            <w:gridSpan w:val="5"/>
            <w:vAlign w:val="center"/>
          </w:tcPr>
          <w:p w:rsidR="003F6FAE" w:rsidRPr="004464FA" w:rsidRDefault="003F6FAE" w:rsidP="003F6FAE">
            <w:pPr>
              <w:jc w:val="center"/>
              <w:rPr>
                <w:sz w:val="18"/>
                <w:szCs w:val="18"/>
              </w:rPr>
            </w:pPr>
            <w:r w:rsidRPr="00CC0B8B">
              <w:rPr>
                <w:rFonts w:eastAsia="Calibri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931" w:type="pct"/>
            <w:vMerge/>
            <w:vAlign w:val="center"/>
          </w:tcPr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F6FAE" w:rsidRPr="00214333" w:rsidTr="00303F2B">
        <w:tc>
          <w:tcPr>
            <w:tcW w:w="392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10.1.1.</w:t>
            </w:r>
          </w:p>
        </w:tc>
        <w:tc>
          <w:tcPr>
            <w:tcW w:w="1505" w:type="pct"/>
            <w:vAlign w:val="center"/>
          </w:tcPr>
          <w:p w:rsidR="003F6FAE" w:rsidRPr="00C70AE2" w:rsidRDefault="003F6FAE" w:rsidP="003F6FAE">
            <w:pPr>
              <w:jc w:val="center"/>
              <w:rPr>
                <w:bCs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533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5" w:type="pct"/>
            <w:vAlign w:val="center"/>
          </w:tcPr>
          <w:p w:rsidR="003F6FAE" w:rsidRPr="00214333" w:rsidRDefault="003F6FAE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03" w:type="pct"/>
            <w:vAlign w:val="center"/>
          </w:tcPr>
          <w:p w:rsidR="003F6FAE" w:rsidRPr="00214333" w:rsidRDefault="003F6FAE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31" w:type="pct"/>
            <w:vMerge/>
            <w:vAlign w:val="center"/>
          </w:tcPr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F6FAE" w:rsidRPr="00214333" w:rsidTr="00303F2B">
        <w:tc>
          <w:tcPr>
            <w:tcW w:w="392" w:type="pct"/>
            <w:vAlign w:val="center"/>
          </w:tcPr>
          <w:p w:rsidR="003F6FAE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10.1.2.</w:t>
            </w:r>
          </w:p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pct"/>
            <w:vAlign w:val="center"/>
          </w:tcPr>
          <w:p w:rsidR="003F6FAE" w:rsidRPr="00C70AE2" w:rsidRDefault="003F6FAE" w:rsidP="003F6FAE">
            <w:pPr>
              <w:jc w:val="center"/>
              <w:rPr>
                <w:bCs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33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5" w:type="pct"/>
            <w:vAlign w:val="center"/>
          </w:tcPr>
          <w:p w:rsidR="003F6FAE" w:rsidRPr="00214333" w:rsidRDefault="003F6FAE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03" w:type="pct"/>
            <w:vAlign w:val="center"/>
          </w:tcPr>
          <w:p w:rsidR="003F6FAE" w:rsidRPr="00214333" w:rsidRDefault="003F6FAE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31" w:type="pct"/>
            <w:vMerge/>
            <w:vAlign w:val="center"/>
          </w:tcPr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F6FAE" w:rsidRPr="00214333" w:rsidTr="003F6FAE">
        <w:tc>
          <w:tcPr>
            <w:tcW w:w="392" w:type="pct"/>
            <w:vAlign w:val="center"/>
          </w:tcPr>
          <w:p w:rsidR="003F6FAE" w:rsidRPr="004464FA" w:rsidRDefault="003F6FAE" w:rsidP="003F6F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3677" w:type="pct"/>
            <w:gridSpan w:val="5"/>
          </w:tcPr>
          <w:p w:rsidR="003F6FAE" w:rsidRPr="004464FA" w:rsidRDefault="003F6FAE" w:rsidP="003F6F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931" w:type="pct"/>
            <w:vMerge/>
            <w:vAlign w:val="center"/>
          </w:tcPr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F6FAE" w:rsidRPr="00214333" w:rsidTr="00303F2B">
        <w:tc>
          <w:tcPr>
            <w:tcW w:w="392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10.2.1</w:t>
            </w:r>
          </w:p>
        </w:tc>
        <w:tc>
          <w:tcPr>
            <w:tcW w:w="1505" w:type="pct"/>
            <w:vAlign w:val="center"/>
          </w:tcPr>
          <w:p w:rsidR="003F6FAE" w:rsidRPr="00C70AE2" w:rsidRDefault="003F6FAE" w:rsidP="003F6FAE">
            <w:pPr>
              <w:jc w:val="center"/>
              <w:rPr>
                <w:bCs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</w:t>
            </w:r>
            <w:r w:rsidRPr="00CC0B8B">
              <w:rPr>
                <w:rFonts w:eastAsia="Calibri"/>
                <w:sz w:val="20"/>
                <w:szCs w:val="20"/>
              </w:rPr>
              <w:lastRenderedPageBreak/>
              <w:t>расчете на протяженность водопроводной сети в год;</w:t>
            </w:r>
          </w:p>
        </w:tc>
        <w:tc>
          <w:tcPr>
            <w:tcW w:w="533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 w:rsidRPr="00CC0B8B">
              <w:rPr>
                <w:rFonts w:eastAsia="Calibri"/>
                <w:sz w:val="18"/>
                <w:szCs w:val="20"/>
              </w:rPr>
              <w:lastRenderedPageBreak/>
              <w:t>(ед./ км</w:t>
            </w:r>
            <w:r w:rsidRPr="00CC0B8B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541" w:type="pct"/>
            <w:vAlign w:val="center"/>
          </w:tcPr>
          <w:p w:rsidR="003F6FAE" w:rsidRPr="00C70AE2" w:rsidRDefault="00466674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F6FAE" w:rsidRPr="00214333" w:rsidRDefault="00466674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F6FAE" w:rsidRPr="00214333" w:rsidRDefault="00466674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Merge/>
            <w:vAlign w:val="center"/>
          </w:tcPr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F6FAE" w:rsidRPr="00214333" w:rsidTr="003F6FAE">
        <w:tc>
          <w:tcPr>
            <w:tcW w:w="392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10.3</w:t>
            </w:r>
          </w:p>
        </w:tc>
        <w:tc>
          <w:tcPr>
            <w:tcW w:w="3677" w:type="pct"/>
            <w:gridSpan w:val="5"/>
            <w:vAlign w:val="center"/>
          </w:tcPr>
          <w:p w:rsidR="003F6FAE" w:rsidRPr="00C70AE2" w:rsidRDefault="003F6FAE" w:rsidP="003F6FAE">
            <w:pPr>
              <w:jc w:val="center"/>
              <w:rPr>
                <w:b/>
                <w:bCs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931" w:type="pct"/>
            <w:vMerge/>
            <w:vAlign w:val="center"/>
          </w:tcPr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F6FAE" w:rsidRPr="00214333" w:rsidTr="00542BAA">
        <w:tc>
          <w:tcPr>
            <w:tcW w:w="392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10.3.1</w:t>
            </w:r>
          </w:p>
        </w:tc>
        <w:tc>
          <w:tcPr>
            <w:tcW w:w="1505" w:type="pct"/>
            <w:vAlign w:val="center"/>
          </w:tcPr>
          <w:p w:rsidR="003F6FAE" w:rsidRPr="00CC0B8B" w:rsidRDefault="003F6FAE" w:rsidP="003F6FA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533" w:type="pct"/>
            <w:vAlign w:val="center"/>
          </w:tcPr>
          <w:p w:rsidR="003F6FAE" w:rsidRPr="00C70AE2" w:rsidRDefault="003F6FAE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41" w:type="pct"/>
            <w:vAlign w:val="center"/>
          </w:tcPr>
          <w:p w:rsidR="003F6FAE" w:rsidRPr="00214333" w:rsidRDefault="00466674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Align w:val="center"/>
          </w:tcPr>
          <w:p w:rsidR="003F6FAE" w:rsidRPr="00214333" w:rsidRDefault="00466674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3F6FAE" w:rsidRPr="00214333" w:rsidRDefault="00466674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Merge/>
            <w:tcBorders>
              <w:bottom w:val="nil"/>
            </w:tcBorders>
            <w:vAlign w:val="center"/>
          </w:tcPr>
          <w:p w:rsidR="003F6FAE" w:rsidRPr="003A749E" w:rsidRDefault="003F6FAE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845E3" w:rsidRPr="00214333" w:rsidTr="00542BAA">
        <w:tc>
          <w:tcPr>
            <w:tcW w:w="392" w:type="pct"/>
            <w:vAlign w:val="center"/>
          </w:tcPr>
          <w:p w:rsidR="003845E3" w:rsidRPr="00C70AE2" w:rsidRDefault="003845E3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10.3.2</w:t>
            </w:r>
          </w:p>
        </w:tc>
        <w:tc>
          <w:tcPr>
            <w:tcW w:w="1505" w:type="pct"/>
            <w:vAlign w:val="center"/>
          </w:tcPr>
          <w:p w:rsidR="003845E3" w:rsidRPr="00CC0B8B" w:rsidRDefault="003845E3" w:rsidP="003F6FA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533" w:type="pct"/>
            <w:vAlign w:val="center"/>
          </w:tcPr>
          <w:p w:rsidR="003845E3" w:rsidRPr="00C70AE2" w:rsidRDefault="003845E3" w:rsidP="003F6FAE">
            <w:pPr>
              <w:jc w:val="center"/>
              <w:rPr>
                <w:sz w:val="20"/>
                <w:szCs w:val="20"/>
              </w:rPr>
            </w:pPr>
            <w:r w:rsidRPr="00CC0B8B">
              <w:rPr>
                <w:rFonts w:eastAsia="Calibri"/>
                <w:sz w:val="18"/>
                <w:szCs w:val="20"/>
              </w:rPr>
              <w:t>(кВт x ч/ куб. м)</w:t>
            </w:r>
          </w:p>
        </w:tc>
        <w:tc>
          <w:tcPr>
            <w:tcW w:w="541" w:type="pct"/>
            <w:vMerge w:val="restart"/>
            <w:vAlign w:val="center"/>
          </w:tcPr>
          <w:p w:rsidR="003845E3" w:rsidRPr="00214333" w:rsidRDefault="00127030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5" w:type="pct"/>
            <w:vMerge w:val="restart"/>
            <w:vAlign w:val="center"/>
          </w:tcPr>
          <w:p w:rsidR="003845E3" w:rsidRPr="00214333" w:rsidRDefault="00127030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  <w:vMerge w:val="restart"/>
            <w:vAlign w:val="center"/>
          </w:tcPr>
          <w:p w:rsidR="003845E3" w:rsidRPr="00214333" w:rsidRDefault="00127030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3845E3" w:rsidRPr="003A749E" w:rsidRDefault="003845E3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845E3" w:rsidRPr="00214333" w:rsidTr="003845E3">
        <w:tc>
          <w:tcPr>
            <w:tcW w:w="392" w:type="pct"/>
            <w:vAlign w:val="center"/>
          </w:tcPr>
          <w:p w:rsidR="003845E3" w:rsidRPr="00C70AE2" w:rsidRDefault="003845E3" w:rsidP="003F6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10.3.3</w:t>
            </w:r>
          </w:p>
        </w:tc>
        <w:tc>
          <w:tcPr>
            <w:tcW w:w="1505" w:type="pct"/>
            <w:vAlign w:val="center"/>
          </w:tcPr>
          <w:p w:rsidR="003845E3" w:rsidRPr="00CC0B8B" w:rsidRDefault="003845E3" w:rsidP="003F6F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533" w:type="pct"/>
            <w:vAlign w:val="center"/>
          </w:tcPr>
          <w:p w:rsidR="003845E3" w:rsidRPr="00C70AE2" w:rsidRDefault="003845E3" w:rsidP="003F6FAE">
            <w:pPr>
              <w:jc w:val="center"/>
              <w:rPr>
                <w:sz w:val="20"/>
                <w:szCs w:val="20"/>
              </w:rPr>
            </w:pPr>
            <w:r w:rsidRPr="00CC0B8B">
              <w:rPr>
                <w:rFonts w:eastAsia="Calibri"/>
                <w:sz w:val="18"/>
                <w:szCs w:val="20"/>
              </w:rPr>
              <w:t>(кВт x ч/ куб. м)</w:t>
            </w:r>
          </w:p>
        </w:tc>
        <w:tc>
          <w:tcPr>
            <w:tcW w:w="541" w:type="pct"/>
            <w:vMerge/>
            <w:vAlign w:val="center"/>
          </w:tcPr>
          <w:p w:rsidR="003845E3" w:rsidRPr="00214333" w:rsidRDefault="003845E3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vMerge/>
            <w:vAlign w:val="center"/>
          </w:tcPr>
          <w:p w:rsidR="003845E3" w:rsidRPr="00214333" w:rsidRDefault="003845E3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</w:tcPr>
          <w:p w:rsidR="003845E3" w:rsidRPr="00214333" w:rsidRDefault="003845E3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pct"/>
            <w:vMerge/>
            <w:shd w:val="clear" w:color="auto" w:fill="FFFFFF" w:themeFill="background1"/>
            <w:vAlign w:val="center"/>
          </w:tcPr>
          <w:p w:rsidR="003845E3" w:rsidRPr="003A749E" w:rsidRDefault="003845E3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CD53B6" w:rsidRPr="003A749E" w:rsidRDefault="00CD53B6" w:rsidP="002A1B10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Размер тарифа на </w:t>
      </w:r>
      <w:r w:rsidR="003F6FAE">
        <w:rPr>
          <w:sz w:val="27"/>
          <w:szCs w:val="27"/>
        </w:rPr>
        <w:t>питьевую</w:t>
      </w:r>
      <w:r w:rsidRPr="003A749E">
        <w:rPr>
          <w:sz w:val="27"/>
          <w:szCs w:val="27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0E5B6B" w:rsidRPr="003A749E" w:rsidRDefault="000E5B6B" w:rsidP="000E5B6B">
      <w:pPr>
        <w:ind w:firstLine="709"/>
        <w:jc w:val="both"/>
        <w:rPr>
          <w:color w:val="000000"/>
          <w:sz w:val="27"/>
          <w:szCs w:val="27"/>
        </w:rPr>
      </w:pPr>
      <w:r w:rsidRPr="003A749E">
        <w:rPr>
          <w:sz w:val="27"/>
          <w:szCs w:val="27"/>
        </w:rPr>
        <w:t xml:space="preserve">Основные показатели расчета тарифа на водоотведение </w:t>
      </w:r>
      <w:r w:rsidR="00303F2B">
        <w:rPr>
          <w:bCs/>
          <w:sz w:val="27"/>
          <w:szCs w:val="27"/>
        </w:rPr>
        <w:t>МУП ЖКХ «Ахтубинские водопроводы» МО «Ахтубинский район»</w:t>
      </w:r>
      <w:r w:rsidR="0053126A" w:rsidRPr="003A749E">
        <w:rPr>
          <w:bCs/>
          <w:sz w:val="27"/>
          <w:szCs w:val="27"/>
        </w:rPr>
        <w:t xml:space="preserve"> </w:t>
      </w:r>
      <w:r w:rsidRPr="003A749E">
        <w:rPr>
          <w:sz w:val="27"/>
          <w:szCs w:val="27"/>
        </w:rPr>
        <w:t xml:space="preserve">на долгосрочный период регулирования </w:t>
      </w:r>
      <w:r w:rsidRPr="003A749E">
        <w:rPr>
          <w:color w:val="000000"/>
          <w:sz w:val="27"/>
          <w:szCs w:val="27"/>
        </w:rPr>
        <w:t xml:space="preserve">сведены в таблицу № 2.   </w:t>
      </w:r>
    </w:p>
    <w:p w:rsidR="003A749E" w:rsidRPr="003A749E" w:rsidRDefault="003A749E" w:rsidP="000E5B6B">
      <w:pPr>
        <w:ind w:firstLine="709"/>
        <w:jc w:val="right"/>
        <w:rPr>
          <w:color w:val="000000"/>
          <w:sz w:val="27"/>
          <w:szCs w:val="27"/>
        </w:rPr>
      </w:pPr>
    </w:p>
    <w:p w:rsidR="000E5B6B" w:rsidRPr="003A749E" w:rsidRDefault="000E5B6B" w:rsidP="000E5B6B">
      <w:pPr>
        <w:ind w:firstLine="709"/>
        <w:jc w:val="right"/>
        <w:rPr>
          <w:color w:val="000000"/>
          <w:sz w:val="27"/>
          <w:szCs w:val="27"/>
        </w:rPr>
      </w:pPr>
      <w:r w:rsidRPr="003A749E">
        <w:rPr>
          <w:color w:val="000000"/>
          <w:sz w:val="27"/>
          <w:szCs w:val="27"/>
        </w:rPr>
        <w:t>Таблица №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3060"/>
        <w:gridCol w:w="1313"/>
        <w:gridCol w:w="1038"/>
        <w:gridCol w:w="10"/>
        <w:gridCol w:w="1028"/>
        <w:gridCol w:w="1040"/>
        <w:gridCol w:w="2070"/>
      </w:tblGrid>
      <w:tr w:rsidR="000E5B6B" w:rsidRPr="003310E7" w:rsidTr="00303F2B">
        <w:trPr>
          <w:tblHeader/>
        </w:trPr>
        <w:tc>
          <w:tcPr>
            <w:tcW w:w="414" w:type="pct"/>
            <w:vAlign w:val="center"/>
          </w:tcPr>
          <w:p w:rsidR="000E5B6B" w:rsidRPr="003310E7" w:rsidRDefault="000E5B6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68" w:type="pct"/>
            <w:vAlign w:val="center"/>
          </w:tcPr>
          <w:p w:rsidR="000E5B6B" w:rsidRPr="003310E7" w:rsidRDefault="000E5B6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0" w:type="pct"/>
            <w:vAlign w:val="center"/>
          </w:tcPr>
          <w:p w:rsidR="000E5B6B" w:rsidRPr="003310E7" w:rsidRDefault="000E5B6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495" w:type="pct"/>
            <w:gridSpan w:val="4"/>
            <w:vAlign w:val="center"/>
          </w:tcPr>
          <w:p w:rsidR="000E5B6B" w:rsidRPr="003310E7" w:rsidRDefault="000E5B6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Величина показателя</w:t>
            </w:r>
          </w:p>
        </w:tc>
        <w:tc>
          <w:tcPr>
            <w:tcW w:w="993" w:type="pct"/>
            <w:vAlign w:val="center"/>
          </w:tcPr>
          <w:p w:rsidR="000E5B6B" w:rsidRPr="003310E7" w:rsidRDefault="000E5B6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Примечание</w:t>
            </w:r>
          </w:p>
        </w:tc>
      </w:tr>
      <w:tr w:rsidR="00303F2B" w:rsidRPr="003310E7" w:rsidTr="00303F2B">
        <w:tc>
          <w:tcPr>
            <w:tcW w:w="2512" w:type="pct"/>
            <w:gridSpan w:val="3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2021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2022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2023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rPr>
          <w:trHeight w:val="1187"/>
        </w:trPr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 xml:space="preserve">Величина необходимой валовой выручки </w:t>
            </w:r>
            <w:r w:rsidRPr="000E5B6B">
              <w:rPr>
                <w:bCs/>
                <w:sz w:val="18"/>
                <w:szCs w:val="18"/>
              </w:rPr>
              <w:t>МУП «Лиманское» ЖКХ МО «Рабочий поселок Лиман»</w:t>
            </w:r>
            <w:r w:rsidRPr="003310E7">
              <w:rPr>
                <w:bCs/>
                <w:sz w:val="18"/>
                <w:szCs w:val="18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bCs/>
                <w:sz w:val="18"/>
                <w:szCs w:val="18"/>
              </w:rPr>
            </w:pPr>
            <w:r w:rsidRPr="003310E7">
              <w:rPr>
                <w:b/>
                <w:bCs/>
                <w:sz w:val="18"/>
                <w:szCs w:val="18"/>
              </w:rPr>
              <w:t>Необходимая валовая выручка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rPr>
          <w:trHeight w:val="108"/>
        </w:trPr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Текущие расходы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498" w:type="pct"/>
            <w:vAlign w:val="center"/>
          </w:tcPr>
          <w:p w:rsidR="00303F2B" w:rsidRPr="003310E7" w:rsidRDefault="00127030" w:rsidP="00AB18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1684,60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127030" w:rsidP="00AB18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1733,19</w:t>
            </w:r>
          </w:p>
        </w:tc>
        <w:tc>
          <w:tcPr>
            <w:tcW w:w="499" w:type="pct"/>
            <w:vAlign w:val="center"/>
          </w:tcPr>
          <w:p w:rsidR="00303F2B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1784,87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498" w:type="pct"/>
            <w:vAlign w:val="center"/>
          </w:tcPr>
          <w:p w:rsidR="00303F2B" w:rsidRPr="003310E7" w:rsidRDefault="00127030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Default="00127030" w:rsidP="00AB1897">
            <w:pPr>
              <w:jc w:val="center"/>
            </w:pPr>
            <w:r>
              <w:t>-</w:t>
            </w:r>
          </w:p>
        </w:tc>
        <w:tc>
          <w:tcPr>
            <w:tcW w:w="499" w:type="pct"/>
            <w:vAlign w:val="center"/>
          </w:tcPr>
          <w:p w:rsidR="00303F2B" w:rsidRDefault="00127030" w:rsidP="00AB1897">
            <w:pPr>
              <w:jc w:val="center"/>
            </w:pPr>
            <w: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Нормативная прибыль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Капитальные расходы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03F2B" w:rsidRPr="00CA5B8F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CA5B8F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CA5B8F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Иные экономически обоснованные расходы на социальные нужды в соответствии с пунктом 86 настоящих Методических указаний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bCs/>
                <w:sz w:val="18"/>
                <w:szCs w:val="18"/>
              </w:rPr>
            </w:pPr>
            <w:r w:rsidRPr="003310E7">
              <w:rPr>
                <w:b/>
                <w:bCs/>
                <w:sz w:val="18"/>
                <w:szCs w:val="18"/>
              </w:rPr>
              <w:t>Корректировка НВВ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03F2B" w:rsidRPr="00CA5B8F" w:rsidRDefault="001F5585" w:rsidP="00AB18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498" w:type="pct"/>
            <w:gridSpan w:val="2"/>
            <w:vAlign w:val="center"/>
          </w:tcPr>
          <w:p w:rsidR="00303F2B" w:rsidRPr="00CA5B8F" w:rsidRDefault="00E16FE6" w:rsidP="001F55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-5,00</w:t>
            </w:r>
          </w:p>
        </w:tc>
        <w:tc>
          <w:tcPr>
            <w:tcW w:w="499" w:type="pct"/>
            <w:vAlign w:val="center"/>
          </w:tcPr>
          <w:p w:rsidR="00303F2B" w:rsidRPr="00CA5B8F" w:rsidRDefault="00E16FE6" w:rsidP="00AB18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-35,00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тыс. руб.</w:t>
            </w:r>
          </w:p>
        </w:tc>
        <w:tc>
          <w:tcPr>
            <w:tcW w:w="498" w:type="pct"/>
            <w:vAlign w:val="center"/>
          </w:tcPr>
          <w:p w:rsidR="00303F2B" w:rsidRPr="003310E7" w:rsidRDefault="00B74963" w:rsidP="00AB18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1724,60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E16FE6" w:rsidP="00AB18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1728,19</w:t>
            </w:r>
          </w:p>
        </w:tc>
        <w:tc>
          <w:tcPr>
            <w:tcW w:w="499" w:type="pct"/>
            <w:vAlign w:val="center"/>
          </w:tcPr>
          <w:p w:rsidR="00303F2B" w:rsidRPr="003310E7" w:rsidRDefault="00E16FE6" w:rsidP="00AB18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1749,87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Объем принятых стоков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тыс.куб.м.</w:t>
            </w:r>
          </w:p>
        </w:tc>
        <w:tc>
          <w:tcPr>
            <w:tcW w:w="498" w:type="pct"/>
            <w:vAlign w:val="center"/>
          </w:tcPr>
          <w:p w:rsidR="00303F2B" w:rsidRPr="003310E7" w:rsidRDefault="00E16FE6" w:rsidP="002506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21,93</w:t>
            </w:r>
          </w:p>
        </w:tc>
        <w:tc>
          <w:tcPr>
            <w:tcW w:w="498" w:type="pct"/>
            <w:gridSpan w:val="2"/>
            <w:vAlign w:val="center"/>
          </w:tcPr>
          <w:p w:rsidR="00303F2B" w:rsidRPr="00E16FE6" w:rsidRDefault="00E16FE6" w:rsidP="002506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16FE6">
              <w:rPr>
                <w:bCs/>
                <w:color w:val="000000"/>
                <w:sz w:val="18"/>
                <w:szCs w:val="18"/>
              </w:rPr>
              <w:t>21,93</w:t>
            </w:r>
          </w:p>
        </w:tc>
        <w:tc>
          <w:tcPr>
            <w:tcW w:w="499" w:type="pct"/>
            <w:vAlign w:val="center"/>
          </w:tcPr>
          <w:p w:rsidR="00303F2B" w:rsidRPr="00E16FE6" w:rsidRDefault="00E16FE6" w:rsidP="0025060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16FE6">
              <w:rPr>
                <w:bCs/>
                <w:color w:val="000000"/>
                <w:sz w:val="18"/>
                <w:szCs w:val="18"/>
              </w:rPr>
              <w:t>21,93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 xml:space="preserve">ИПЦ, индексы роста цен на каждый энергетический ресурс и воду, потребляемые регулируемой </w:t>
            </w:r>
            <w:r w:rsidRPr="003310E7">
              <w:rPr>
                <w:bCs/>
                <w:color w:val="000000"/>
                <w:sz w:val="18"/>
                <w:szCs w:val="18"/>
              </w:rPr>
              <w:lastRenderedPageBreak/>
              <w:t>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Х</w:t>
            </w: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ИПЦ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индексы роста цен на электроэнергию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Индекс цен производителей без ТЭК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103,3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103,5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rPr>
          <w:trHeight w:val="555"/>
        </w:trPr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Базовый уровень операционных расходов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498" w:type="pct"/>
            <w:vAlign w:val="center"/>
          </w:tcPr>
          <w:p w:rsidR="00303F2B" w:rsidRPr="003310E7" w:rsidRDefault="00542BAA" w:rsidP="00AB18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1633,30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3F2B" w:rsidRPr="003310E7" w:rsidTr="00303F2B">
        <w:trPr>
          <w:trHeight w:val="660"/>
        </w:trPr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Индекс эффективности операционных расходов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Удельный расход электрической энергии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кВт-ч/куб. м</w:t>
            </w:r>
          </w:p>
        </w:tc>
        <w:tc>
          <w:tcPr>
            <w:tcW w:w="498" w:type="pct"/>
            <w:vAlign w:val="center"/>
          </w:tcPr>
          <w:p w:rsidR="00303F2B" w:rsidRPr="003310E7" w:rsidRDefault="00542BAA" w:rsidP="00AB18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0,211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542BAA" w:rsidP="00AB18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0,211</w:t>
            </w:r>
          </w:p>
        </w:tc>
        <w:tc>
          <w:tcPr>
            <w:tcW w:w="499" w:type="pct"/>
            <w:vAlign w:val="center"/>
          </w:tcPr>
          <w:p w:rsidR="00303F2B" w:rsidRPr="003310E7" w:rsidRDefault="00542BAA" w:rsidP="00AB18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0,211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03F2B" w:rsidRPr="003310E7" w:rsidTr="00303F2B">
        <w:trPr>
          <w:trHeight w:val="318"/>
        </w:trPr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Действующим законодательством не утверждены</w:t>
            </w: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Инвестиционная программа отсутствует</w:t>
            </w:r>
          </w:p>
        </w:tc>
      </w:tr>
      <w:tr w:rsidR="00303F2B" w:rsidRPr="003310E7" w:rsidTr="00303F2B">
        <w:tc>
          <w:tcPr>
            <w:tcW w:w="414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6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630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98" w:type="pct"/>
            <w:gridSpan w:val="2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303F2B" w:rsidRPr="003310E7" w:rsidRDefault="00303F2B" w:rsidP="00AB189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03F2B" w:rsidRPr="003310E7" w:rsidRDefault="00303F2B" w:rsidP="00AB189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82BE1" w:rsidRPr="003310E7" w:rsidTr="00303F2B">
        <w:trPr>
          <w:trHeight w:val="1594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382BE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Текущие расходы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498" w:type="pct"/>
            <w:vAlign w:val="center"/>
          </w:tcPr>
          <w:p w:rsidR="00382BE1" w:rsidRPr="00D774D3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460,66</w:t>
            </w:r>
          </w:p>
        </w:tc>
        <w:tc>
          <w:tcPr>
            <w:tcW w:w="498" w:type="pct"/>
            <w:gridSpan w:val="2"/>
            <w:vAlign w:val="center"/>
          </w:tcPr>
          <w:p w:rsidR="00382BE1" w:rsidRPr="00D774D3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434,27</w:t>
            </w:r>
          </w:p>
        </w:tc>
        <w:tc>
          <w:tcPr>
            <w:tcW w:w="499" w:type="pct"/>
            <w:vAlign w:val="center"/>
          </w:tcPr>
          <w:p w:rsidR="00382BE1" w:rsidRPr="00D774D3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389,27</w:t>
            </w:r>
          </w:p>
        </w:tc>
        <w:tc>
          <w:tcPr>
            <w:tcW w:w="993" w:type="pct"/>
            <w:vAlign w:val="center"/>
          </w:tcPr>
          <w:p w:rsidR="00382BE1" w:rsidRPr="003310E7" w:rsidRDefault="00382BE1" w:rsidP="001F5585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382BE1" w:rsidRPr="003310E7" w:rsidTr="00303F2B"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498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98" w:type="pct"/>
            <w:gridSpan w:val="2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82BE1" w:rsidRPr="003310E7" w:rsidTr="00303F2B"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498" w:type="pct"/>
            <w:vAlign w:val="center"/>
          </w:tcPr>
          <w:p w:rsidR="00382BE1" w:rsidRPr="003310E7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82BE1" w:rsidRPr="003310E7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Х</w:t>
            </w:r>
          </w:p>
        </w:tc>
      </w:tr>
      <w:tr w:rsidR="00382BE1" w:rsidRPr="003310E7" w:rsidTr="00303F2B">
        <w:trPr>
          <w:trHeight w:val="885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498" w:type="pct"/>
            <w:vAlign w:val="center"/>
          </w:tcPr>
          <w:p w:rsidR="00382BE1" w:rsidRPr="003310E7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82BE1" w:rsidRPr="003310E7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pct"/>
            <w:vMerge w:val="restart"/>
            <w:vAlign w:val="center"/>
          </w:tcPr>
          <w:p w:rsidR="00382BE1" w:rsidRPr="00D774D3" w:rsidRDefault="00382BE1" w:rsidP="00E16FE6">
            <w:pPr>
              <w:jc w:val="center"/>
              <w:rPr>
                <w:sz w:val="18"/>
                <w:szCs w:val="18"/>
              </w:rPr>
            </w:pPr>
            <w:r w:rsidRPr="00D774D3">
              <w:rPr>
                <w:sz w:val="18"/>
                <w:szCs w:val="18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 w:rsidRPr="00D774D3">
              <w:rPr>
                <w:sz w:val="18"/>
                <w:szCs w:val="18"/>
              </w:rPr>
              <w:br/>
            </w:r>
            <w:r w:rsidRPr="00E16FE6">
              <w:rPr>
                <w:sz w:val="18"/>
                <w:szCs w:val="18"/>
              </w:rPr>
              <w:t xml:space="preserve">№ </w:t>
            </w:r>
            <w:r w:rsidR="00E16FE6" w:rsidRPr="00E16FE6">
              <w:rPr>
                <w:sz w:val="18"/>
                <w:szCs w:val="18"/>
              </w:rPr>
              <w:t>411</w:t>
            </w:r>
            <w:r w:rsidRPr="00E16FE6">
              <w:rPr>
                <w:sz w:val="18"/>
                <w:szCs w:val="18"/>
              </w:rPr>
              <w:t xml:space="preserve"> от </w:t>
            </w:r>
            <w:r w:rsidR="00E16FE6" w:rsidRPr="00E16FE6">
              <w:rPr>
                <w:sz w:val="18"/>
                <w:szCs w:val="18"/>
              </w:rPr>
              <w:t>08</w:t>
            </w:r>
            <w:r w:rsidRPr="00E16FE6">
              <w:rPr>
                <w:sz w:val="18"/>
                <w:szCs w:val="18"/>
              </w:rPr>
              <w:t>.12.2020</w:t>
            </w:r>
          </w:p>
        </w:tc>
      </w:tr>
      <w:tr w:rsidR="00382BE1" w:rsidRPr="003310E7" w:rsidTr="00303F2B">
        <w:trPr>
          <w:trHeight w:val="331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</w:t>
            </w:r>
          </w:p>
        </w:tc>
        <w:tc>
          <w:tcPr>
            <w:tcW w:w="3593" w:type="pct"/>
            <w:gridSpan w:val="6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3310E7">
              <w:rPr>
                <w:sz w:val="18"/>
                <w:szCs w:val="18"/>
              </w:rPr>
              <w:t>Показатели очистки сточных вод:</w:t>
            </w: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82BE1" w:rsidRPr="003310E7" w:rsidTr="00303F2B">
        <w:trPr>
          <w:trHeight w:val="331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10.1.1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503" w:type="pct"/>
            <w:gridSpan w:val="2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493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</w:p>
        </w:tc>
      </w:tr>
      <w:tr w:rsidR="00382BE1" w:rsidRPr="003310E7" w:rsidTr="00303F2B">
        <w:trPr>
          <w:trHeight w:val="617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10.1.2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498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</w:p>
        </w:tc>
      </w:tr>
      <w:tr w:rsidR="00382BE1" w:rsidRPr="003310E7" w:rsidTr="00303F2B">
        <w:trPr>
          <w:trHeight w:val="617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10.1.3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498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</w:rPr>
            </w:pPr>
          </w:p>
        </w:tc>
      </w:tr>
      <w:tr w:rsidR="00382BE1" w:rsidRPr="003310E7" w:rsidTr="00303F2B">
        <w:trPr>
          <w:trHeight w:val="331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10.2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Показатели надежности и бесперебойности водоотведения: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82BE1" w:rsidRPr="003310E7" w:rsidTr="00303F2B">
        <w:trPr>
          <w:trHeight w:val="331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10.2.1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  <w:highlight w:val="yellow"/>
              </w:rPr>
            </w:pPr>
          </w:p>
        </w:tc>
      </w:tr>
      <w:tr w:rsidR="00382BE1" w:rsidRPr="003310E7" w:rsidTr="00303F2B">
        <w:trPr>
          <w:trHeight w:val="331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rFonts w:eastAsia="Calibri"/>
                <w:spacing w:val="-12"/>
                <w:sz w:val="18"/>
                <w:szCs w:val="18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8" w:type="pct"/>
            <w:gridSpan w:val="2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9" w:type="pct"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  <w:highlight w:val="yellow"/>
              </w:rPr>
            </w:pPr>
          </w:p>
        </w:tc>
      </w:tr>
      <w:tr w:rsidR="00382BE1" w:rsidRPr="003310E7" w:rsidTr="00303F2B">
        <w:trPr>
          <w:trHeight w:val="1661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10.3.1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кВт-ч/куб. м</w:t>
            </w:r>
          </w:p>
        </w:tc>
        <w:tc>
          <w:tcPr>
            <w:tcW w:w="498" w:type="pct"/>
            <w:vMerge w:val="restart"/>
            <w:vAlign w:val="center"/>
          </w:tcPr>
          <w:p w:rsidR="00382BE1" w:rsidRPr="003310E7" w:rsidRDefault="00382BE1" w:rsidP="00382BE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0,211</w:t>
            </w:r>
          </w:p>
        </w:tc>
        <w:tc>
          <w:tcPr>
            <w:tcW w:w="498" w:type="pct"/>
            <w:gridSpan w:val="2"/>
            <w:vMerge w:val="restart"/>
            <w:vAlign w:val="center"/>
          </w:tcPr>
          <w:p w:rsidR="00382BE1" w:rsidRPr="003310E7" w:rsidRDefault="00382BE1" w:rsidP="00382BE1">
            <w:pPr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0,211</w:t>
            </w:r>
          </w:p>
        </w:tc>
        <w:tc>
          <w:tcPr>
            <w:tcW w:w="499" w:type="pct"/>
            <w:vMerge w:val="restart"/>
            <w:vAlign w:val="center"/>
          </w:tcPr>
          <w:p w:rsidR="00382BE1" w:rsidRPr="003310E7" w:rsidRDefault="00382BE1" w:rsidP="00382BE1">
            <w:pPr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0,211</w:t>
            </w: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  <w:highlight w:val="yellow"/>
              </w:rPr>
            </w:pPr>
          </w:p>
        </w:tc>
      </w:tr>
      <w:tr w:rsidR="00382BE1" w:rsidRPr="003310E7" w:rsidTr="00303F2B">
        <w:trPr>
          <w:trHeight w:val="331"/>
        </w:trPr>
        <w:tc>
          <w:tcPr>
            <w:tcW w:w="414" w:type="pct"/>
            <w:vAlign w:val="center"/>
          </w:tcPr>
          <w:p w:rsidR="00382BE1" w:rsidRPr="003310E7" w:rsidRDefault="00382BE1" w:rsidP="00AB189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10.3.2</w:t>
            </w:r>
          </w:p>
        </w:tc>
        <w:tc>
          <w:tcPr>
            <w:tcW w:w="1468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630" w:type="pct"/>
            <w:vAlign w:val="center"/>
          </w:tcPr>
          <w:p w:rsidR="00382BE1" w:rsidRPr="003310E7" w:rsidRDefault="00382BE1" w:rsidP="00AB189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кВт-ч/куб. м</w:t>
            </w:r>
          </w:p>
        </w:tc>
        <w:tc>
          <w:tcPr>
            <w:tcW w:w="498" w:type="pct"/>
            <w:vMerge/>
            <w:vAlign w:val="center"/>
          </w:tcPr>
          <w:p w:rsidR="00382BE1" w:rsidRPr="003310E7" w:rsidRDefault="00382BE1" w:rsidP="00AB189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498" w:type="pct"/>
            <w:gridSpan w:val="2"/>
            <w:vMerge/>
            <w:vAlign w:val="center"/>
          </w:tcPr>
          <w:p w:rsidR="00382BE1" w:rsidRDefault="00382BE1" w:rsidP="00250606">
            <w:pPr>
              <w:jc w:val="center"/>
            </w:pPr>
          </w:p>
        </w:tc>
        <w:tc>
          <w:tcPr>
            <w:tcW w:w="499" w:type="pct"/>
            <w:vMerge/>
            <w:vAlign w:val="center"/>
          </w:tcPr>
          <w:p w:rsidR="00382BE1" w:rsidRDefault="00382BE1" w:rsidP="00250606">
            <w:pPr>
              <w:jc w:val="center"/>
            </w:pPr>
          </w:p>
        </w:tc>
        <w:tc>
          <w:tcPr>
            <w:tcW w:w="993" w:type="pct"/>
            <w:vMerge/>
            <w:vAlign w:val="center"/>
          </w:tcPr>
          <w:p w:rsidR="00382BE1" w:rsidRPr="003310E7" w:rsidRDefault="00382BE1" w:rsidP="00AB189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  <w:highlight w:val="yellow"/>
              </w:rPr>
            </w:pPr>
          </w:p>
        </w:tc>
      </w:tr>
    </w:tbl>
    <w:p w:rsidR="000E5B6B" w:rsidRDefault="000E5B6B" w:rsidP="000E5B6B">
      <w:pPr>
        <w:ind w:firstLine="709"/>
        <w:jc w:val="center"/>
        <w:rPr>
          <w:sz w:val="28"/>
          <w:szCs w:val="28"/>
        </w:rPr>
      </w:pPr>
    </w:p>
    <w:p w:rsidR="000E5B6B" w:rsidRPr="003A749E" w:rsidRDefault="000E5B6B" w:rsidP="000E5B6B">
      <w:pPr>
        <w:ind w:firstLine="709"/>
        <w:jc w:val="both"/>
        <w:rPr>
          <w:color w:val="000000"/>
          <w:sz w:val="27"/>
          <w:szCs w:val="27"/>
        </w:rPr>
      </w:pPr>
      <w:r w:rsidRPr="003A749E">
        <w:rPr>
          <w:sz w:val="27"/>
          <w:szCs w:val="27"/>
        </w:rPr>
        <w:t>Размер тариф</w:t>
      </w:r>
      <w:r w:rsidR="00B74963">
        <w:rPr>
          <w:sz w:val="27"/>
          <w:szCs w:val="27"/>
        </w:rPr>
        <w:t>а</w:t>
      </w:r>
      <w:r w:rsidRPr="003A749E">
        <w:rPr>
          <w:sz w:val="27"/>
          <w:szCs w:val="27"/>
        </w:rPr>
        <w:t xml:space="preserve"> на водоотведение обеспечивает поступление денежных средств в объёмах, необходимых для выполнения производственных программ.</w:t>
      </w:r>
    </w:p>
    <w:p w:rsidR="00F71C57" w:rsidRPr="003A749E" w:rsidRDefault="00225A30" w:rsidP="00F04539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Возражений, замечаний от члена коллегии </w:t>
      </w:r>
      <w:r w:rsidR="006E09A6" w:rsidRPr="003A749E">
        <w:rPr>
          <w:sz w:val="27"/>
          <w:szCs w:val="27"/>
        </w:rPr>
        <w:t>с</w:t>
      </w:r>
      <w:r w:rsidRPr="003A749E">
        <w:rPr>
          <w:sz w:val="27"/>
          <w:szCs w:val="27"/>
        </w:rPr>
        <w:t xml:space="preserve"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BA349C" w:rsidRPr="003A749E">
        <w:rPr>
          <w:sz w:val="27"/>
          <w:szCs w:val="27"/>
        </w:rPr>
        <w:t>Иванова И.А</w:t>
      </w:r>
      <w:r w:rsidR="005B7775" w:rsidRPr="003A749E">
        <w:rPr>
          <w:sz w:val="27"/>
          <w:szCs w:val="27"/>
        </w:rPr>
        <w:t>.</w:t>
      </w:r>
      <w:r w:rsidRPr="003A749E">
        <w:rPr>
          <w:sz w:val="27"/>
          <w:szCs w:val="27"/>
        </w:rPr>
        <w:t xml:space="preserve"> не поступало.</w:t>
      </w:r>
      <w:r w:rsidR="004B3708" w:rsidRPr="003A749E">
        <w:rPr>
          <w:sz w:val="27"/>
          <w:szCs w:val="27"/>
        </w:rPr>
        <w:t xml:space="preserve"> </w:t>
      </w:r>
    </w:p>
    <w:p w:rsidR="002A1B10" w:rsidRPr="003A749E" w:rsidRDefault="002A1B10" w:rsidP="00F04539">
      <w:pPr>
        <w:ind w:firstLine="709"/>
        <w:jc w:val="both"/>
        <w:rPr>
          <w:b/>
          <w:sz w:val="27"/>
          <w:szCs w:val="27"/>
        </w:rPr>
      </w:pPr>
    </w:p>
    <w:p w:rsidR="00E512BA" w:rsidRPr="003A749E" w:rsidRDefault="00E512BA" w:rsidP="00F04539">
      <w:pPr>
        <w:ind w:firstLine="709"/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ВЫСТУПИЛИ:</w:t>
      </w:r>
    </w:p>
    <w:p w:rsidR="002A42FC" w:rsidRPr="003A749E" w:rsidRDefault="00DA6CA2" w:rsidP="00F04539">
      <w:pPr>
        <w:ind w:firstLine="709"/>
        <w:jc w:val="both"/>
        <w:rPr>
          <w:sz w:val="27"/>
          <w:szCs w:val="27"/>
        </w:rPr>
      </w:pPr>
      <w:r w:rsidRPr="003A749E">
        <w:rPr>
          <w:b/>
          <w:sz w:val="27"/>
          <w:szCs w:val="27"/>
        </w:rPr>
        <w:t>О.В. Степанищева</w:t>
      </w:r>
      <w:r w:rsidR="0090453A" w:rsidRPr="003A749E">
        <w:rPr>
          <w:b/>
          <w:sz w:val="27"/>
          <w:szCs w:val="27"/>
        </w:rPr>
        <w:t xml:space="preserve"> </w:t>
      </w:r>
      <w:r w:rsidR="002A42FC" w:rsidRPr="003A749E">
        <w:rPr>
          <w:sz w:val="27"/>
          <w:szCs w:val="27"/>
        </w:rPr>
        <w:t xml:space="preserve">– </w:t>
      </w:r>
      <w:r w:rsidR="00914B90" w:rsidRPr="003A749E">
        <w:rPr>
          <w:sz w:val="27"/>
          <w:szCs w:val="27"/>
        </w:rPr>
        <w:t xml:space="preserve">предложила согласиться с экспертным заключением и провести голосование по вопросу установления </w:t>
      </w:r>
      <w:r w:rsidR="00303F2B">
        <w:rPr>
          <w:sz w:val="27"/>
          <w:szCs w:val="27"/>
        </w:rPr>
        <w:t xml:space="preserve">МУП ЖКХ «Ахтубинские </w:t>
      </w:r>
      <w:r w:rsidR="00303F2B">
        <w:rPr>
          <w:sz w:val="27"/>
          <w:szCs w:val="27"/>
        </w:rPr>
        <w:lastRenderedPageBreak/>
        <w:t>водопроводы» МО «Ахтубинский район»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303F2B">
        <w:rPr>
          <w:sz w:val="27"/>
          <w:szCs w:val="27"/>
        </w:rPr>
        <w:t>1183025002819</w:t>
      </w:r>
      <w:r w:rsidR="00594EFE" w:rsidRPr="003A749E">
        <w:rPr>
          <w:sz w:val="27"/>
          <w:szCs w:val="27"/>
        </w:rPr>
        <w:t>)</w:t>
      </w:r>
      <w:r w:rsidR="00914B90" w:rsidRPr="003A749E">
        <w:rPr>
          <w:sz w:val="27"/>
          <w:szCs w:val="27"/>
        </w:rPr>
        <w:t xml:space="preserve"> одноставочн</w:t>
      </w:r>
      <w:r w:rsidR="000E5B6B" w:rsidRPr="003A749E">
        <w:rPr>
          <w:sz w:val="27"/>
          <w:szCs w:val="27"/>
        </w:rPr>
        <w:t>ых</w:t>
      </w:r>
      <w:r w:rsidR="00914B90" w:rsidRPr="003A749E">
        <w:rPr>
          <w:sz w:val="27"/>
          <w:szCs w:val="27"/>
        </w:rPr>
        <w:t xml:space="preserve"> тариф</w:t>
      </w:r>
      <w:r w:rsidR="000E5B6B" w:rsidRPr="003A749E">
        <w:rPr>
          <w:sz w:val="27"/>
          <w:szCs w:val="27"/>
        </w:rPr>
        <w:t>ов</w:t>
      </w:r>
      <w:r w:rsidR="00914B90" w:rsidRPr="003A749E">
        <w:rPr>
          <w:sz w:val="27"/>
          <w:szCs w:val="27"/>
        </w:rPr>
        <w:t xml:space="preserve"> на </w:t>
      </w:r>
      <w:r w:rsidR="00B35E4B">
        <w:rPr>
          <w:sz w:val="27"/>
          <w:szCs w:val="27"/>
        </w:rPr>
        <w:t>питьевую</w:t>
      </w:r>
      <w:r w:rsidR="00914B90" w:rsidRPr="003A749E">
        <w:rPr>
          <w:sz w:val="27"/>
          <w:szCs w:val="27"/>
        </w:rPr>
        <w:t xml:space="preserve"> воду</w:t>
      </w:r>
      <w:r w:rsidR="000E5B6B" w:rsidRPr="003A749E">
        <w:rPr>
          <w:sz w:val="27"/>
          <w:szCs w:val="27"/>
        </w:rPr>
        <w:t xml:space="preserve"> и водоотведение</w:t>
      </w:r>
      <w:r w:rsidR="00914B90" w:rsidRPr="003A749E">
        <w:rPr>
          <w:sz w:val="27"/>
          <w:szCs w:val="27"/>
        </w:rPr>
        <w:t xml:space="preserve"> в соответствии с расчетами, выполненными экспертной группой</w:t>
      </w:r>
      <w:r w:rsidR="002A42FC" w:rsidRPr="003A749E">
        <w:rPr>
          <w:sz w:val="27"/>
          <w:szCs w:val="27"/>
        </w:rPr>
        <w:t>.</w:t>
      </w:r>
    </w:p>
    <w:p w:rsidR="00E06482" w:rsidRPr="003A749E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A35B6B" w:rsidRPr="003A749E" w:rsidRDefault="00B312F5" w:rsidP="00F04539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Голосовали: «За» - единогласно.</w:t>
      </w:r>
    </w:p>
    <w:p w:rsidR="00E06482" w:rsidRPr="003A749E" w:rsidRDefault="00E06482" w:rsidP="00F04539">
      <w:pPr>
        <w:ind w:firstLine="709"/>
        <w:jc w:val="both"/>
        <w:rPr>
          <w:sz w:val="27"/>
          <w:szCs w:val="27"/>
        </w:rPr>
      </w:pPr>
    </w:p>
    <w:p w:rsidR="00BD5187" w:rsidRPr="00333952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333952">
        <w:rPr>
          <w:b/>
          <w:sz w:val="27"/>
          <w:szCs w:val="27"/>
        </w:rPr>
        <w:t>ПОСТАНОВИЛИ</w:t>
      </w:r>
      <w:r w:rsidR="00BD5187" w:rsidRPr="00333952">
        <w:rPr>
          <w:b/>
          <w:sz w:val="27"/>
          <w:szCs w:val="27"/>
        </w:rPr>
        <w:t>:</w:t>
      </w:r>
    </w:p>
    <w:p w:rsidR="00975689" w:rsidRPr="00333952" w:rsidRDefault="00975689" w:rsidP="00975689">
      <w:pPr>
        <w:suppressAutoHyphens/>
        <w:ind w:firstLine="851"/>
        <w:jc w:val="both"/>
        <w:rPr>
          <w:sz w:val="27"/>
          <w:szCs w:val="27"/>
        </w:rPr>
      </w:pPr>
      <w:r w:rsidRPr="00333952">
        <w:rPr>
          <w:sz w:val="27"/>
          <w:szCs w:val="27"/>
        </w:rPr>
        <w:t xml:space="preserve">1. Установить </w:t>
      </w:r>
      <w:r w:rsidR="00303F2B" w:rsidRPr="00333952">
        <w:rPr>
          <w:bCs/>
          <w:sz w:val="27"/>
          <w:szCs w:val="27"/>
        </w:rPr>
        <w:t>МУП ЖКХ «Ахтубинские водопроводы» МО «Ахтубинский район»</w:t>
      </w:r>
      <w:r w:rsidRPr="00333952">
        <w:rPr>
          <w:bCs/>
          <w:sz w:val="27"/>
          <w:szCs w:val="27"/>
        </w:rPr>
        <w:t xml:space="preserve"> (ОГРН </w:t>
      </w:r>
      <w:r w:rsidR="00303F2B" w:rsidRPr="00333952">
        <w:rPr>
          <w:bCs/>
          <w:sz w:val="27"/>
          <w:szCs w:val="27"/>
        </w:rPr>
        <w:t>1183025002819</w:t>
      </w:r>
      <w:r w:rsidRPr="00333952">
        <w:rPr>
          <w:bCs/>
          <w:sz w:val="27"/>
          <w:szCs w:val="27"/>
        </w:rPr>
        <w:t>)</w:t>
      </w:r>
      <w:r w:rsidRPr="00333952">
        <w:rPr>
          <w:sz w:val="27"/>
          <w:szCs w:val="27"/>
        </w:rPr>
        <w:t xml:space="preserve"> одноставочные тарифы на </w:t>
      </w:r>
      <w:r w:rsidR="00AC64A6" w:rsidRPr="00333952">
        <w:rPr>
          <w:sz w:val="27"/>
          <w:szCs w:val="27"/>
        </w:rPr>
        <w:t>питьевую</w:t>
      </w:r>
      <w:r w:rsidRPr="00333952">
        <w:rPr>
          <w:sz w:val="27"/>
          <w:szCs w:val="27"/>
        </w:rPr>
        <w:t xml:space="preserve"> воду и водоот</w:t>
      </w:r>
      <w:r w:rsidR="003321E1" w:rsidRPr="00333952">
        <w:rPr>
          <w:sz w:val="27"/>
          <w:szCs w:val="27"/>
        </w:rPr>
        <w:t>ведение согласно приложению № 1 к проекту постановления.</w:t>
      </w:r>
    </w:p>
    <w:p w:rsidR="00975689" w:rsidRPr="00333952" w:rsidRDefault="00975689" w:rsidP="00975689">
      <w:pPr>
        <w:pStyle w:val="aa"/>
        <w:tabs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333952">
        <w:rPr>
          <w:sz w:val="27"/>
          <w:szCs w:val="27"/>
        </w:rPr>
        <w:t>2. Тарифы, установленные пунктом 1 постановления, действуют с 01.01.2021 по 31.12.202</w:t>
      </w:r>
      <w:r w:rsidR="009309C6">
        <w:rPr>
          <w:sz w:val="27"/>
          <w:szCs w:val="27"/>
        </w:rPr>
        <w:t>3</w:t>
      </w:r>
      <w:r w:rsidRPr="00333952">
        <w:rPr>
          <w:sz w:val="27"/>
          <w:szCs w:val="27"/>
        </w:rPr>
        <w:t>.</w:t>
      </w:r>
    </w:p>
    <w:p w:rsidR="00975689" w:rsidRPr="00333952" w:rsidRDefault="00975689" w:rsidP="00975689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333952">
        <w:rPr>
          <w:sz w:val="27"/>
          <w:szCs w:val="27"/>
        </w:rPr>
        <w:t>Установить долгосрочные параметры регулирования тарифа</w:t>
      </w:r>
      <w:r w:rsidRPr="00333952">
        <w:rPr>
          <w:bCs/>
          <w:sz w:val="27"/>
          <w:szCs w:val="27"/>
        </w:rPr>
        <w:t xml:space="preserve"> </w:t>
      </w:r>
      <w:r w:rsidR="00303F2B" w:rsidRPr="00333952">
        <w:rPr>
          <w:bCs/>
          <w:sz w:val="27"/>
          <w:szCs w:val="27"/>
        </w:rPr>
        <w:t>МУП ЖКХ «Ахтубинские водопроводы» МО «Ахтубинский район»</w:t>
      </w:r>
      <w:r w:rsidRPr="00333952">
        <w:rPr>
          <w:bCs/>
          <w:sz w:val="27"/>
          <w:szCs w:val="27"/>
        </w:rPr>
        <w:t xml:space="preserve"> (ОГРН </w:t>
      </w:r>
      <w:r w:rsidR="00303F2B" w:rsidRPr="00333952">
        <w:rPr>
          <w:bCs/>
          <w:sz w:val="27"/>
          <w:szCs w:val="27"/>
        </w:rPr>
        <w:t>1183025002819</w:t>
      </w:r>
      <w:r w:rsidRPr="00333952">
        <w:rPr>
          <w:bCs/>
          <w:sz w:val="27"/>
          <w:szCs w:val="27"/>
        </w:rPr>
        <w:t>)</w:t>
      </w:r>
      <w:r w:rsidRPr="00333952">
        <w:rPr>
          <w:sz w:val="27"/>
          <w:szCs w:val="27"/>
        </w:rPr>
        <w:t>, определяемые на долгосрочный период регулирования при установлении тарифов с использованием метода индексации, согласно приложению № 2</w:t>
      </w:r>
      <w:r w:rsidR="00537212" w:rsidRPr="00333952">
        <w:rPr>
          <w:sz w:val="27"/>
          <w:szCs w:val="27"/>
        </w:rPr>
        <w:t xml:space="preserve"> к проекту постановления</w:t>
      </w:r>
      <w:r w:rsidRPr="00333952">
        <w:rPr>
          <w:sz w:val="27"/>
          <w:szCs w:val="27"/>
        </w:rPr>
        <w:t>.</w:t>
      </w:r>
    </w:p>
    <w:p w:rsidR="00975689" w:rsidRPr="00333952" w:rsidRDefault="00975689" w:rsidP="00975689">
      <w:pPr>
        <w:pStyle w:val="aa"/>
        <w:numPr>
          <w:ilvl w:val="0"/>
          <w:numId w:val="20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33952">
        <w:rPr>
          <w:sz w:val="27"/>
          <w:szCs w:val="27"/>
        </w:rPr>
        <w:t xml:space="preserve">Признать утратившими силу постановления службы по тарифам Астраханской области от </w:t>
      </w:r>
      <w:r w:rsidR="00333952" w:rsidRPr="00333952">
        <w:rPr>
          <w:sz w:val="27"/>
          <w:szCs w:val="27"/>
        </w:rPr>
        <w:t>16</w:t>
      </w:r>
      <w:r w:rsidRPr="00333952">
        <w:rPr>
          <w:sz w:val="27"/>
          <w:szCs w:val="27"/>
        </w:rPr>
        <w:t>.</w:t>
      </w:r>
      <w:r w:rsidR="00333952" w:rsidRPr="00333952">
        <w:rPr>
          <w:sz w:val="27"/>
          <w:szCs w:val="27"/>
        </w:rPr>
        <w:t>04</w:t>
      </w:r>
      <w:r w:rsidRPr="00333952">
        <w:rPr>
          <w:sz w:val="27"/>
          <w:szCs w:val="27"/>
        </w:rPr>
        <w:t>.20</w:t>
      </w:r>
      <w:r w:rsidR="00333952" w:rsidRPr="00333952">
        <w:rPr>
          <w:sz w:val="27"/>
          <w:szCs w:val="27"/>
        </w:rPr>
        <w:t>20</w:t>
      </w:r>
      <w:r w:rsidRPr="00333952">
        <w:rPr>
          <w:sz w:val="27"/>
          <w:szCs w:val="27"/>
        </w:rPr>
        <w:t xml:space="preserve"> № </w:t>
      </w:r>
      <w:r w:rsidR="00333952" w:rsidRPr="00333952">
        <w:rPr>
          <w:sz w:val="27"/>
          <w:szCs w:val="27"/>
        </w:rPr>
        <w:t>6</w:t>
      </w:r>
      <w:r w:rsidRPr="00333952">
        <w:rPr>
          <w:sz w:val="27"/>
          <w:szCs w:val="27"/>
        </w:rPr>
        <w:t xml:space="preserve"> «Об </w:t>
      </w:r>
      <w:r w:rsidRPr="00333952">
        <w:rPr>
          <w:color w:val="000000"/>
          <w:sz w:val="27"/>
          <w:szCs w:val="27"/>
          <w:shd w:val="clear" w:color="auto" w:fill="FFFFFF"/>
        </w:rPr>
        <w:t>у</w:t>
      </w:r>
      <w:r w:rsidRPr="00333952">
        <w:rPr>
          <w:sz w:val="27"/>
          <w:szCs w:val="27"/>
        </w:rPr>
        <w:t xml:space="preserve">становлении </w:t>
      </w:r>
      <w:r w:rsidR="00303F2B" w:rsidRPr="00333952">
        <w:rPr>
          <w:bCs/>
          <w:sz w:val="27"/>
          <w:szCs w:val="27"/>
        </w:rPr>
        <w:t>МУП ЖКХ «Ахтубинские водопроводы» МО «Ахтубинский район»</w:t>
      </w:r>
      <w:r w:rsidRPr="00333952">
        <w:rPr>
          <w:bCs/>
          <w:sz w:val="27"/>
          <w:szCs w:val="27"/>
        </w:rPr>
        <w:t xml:space="preserve"> (ОГРН </w:t>
      </w:r>
      <w:r w:rsidR="00303F2B" w:rsidRPr="00333952">
        <w:rPr>
          <w:bCs/>
          <w:sz w:val="27"/>
          <w:szCs w:val="27"/>
        </w:rPr>
        <w:t>1183025002819</w:t>
      </w:r>
      <w:r w:rsidRPr="00333952">
        <w:rPr>
          <w:bCs/>
          <w:sz w:val="27"/>
          <w:szCs w:val="27"/>
        </w:rPr>
        <w:t xml:space="preserve">) </w:t>
      </w:r>
      <w:r w:rsidRPr="00333952">
        <w:rPr>
          <w:sz w:val="27"/>
          <w:szCs w:val="27"/>
        </w:rPr>
        <w:t>тариф</w:t>
      </w:r>
      <w:r w:rsidR="00333952" w:rsidRPr="00333952">
        <w:rPr>
          <w:sz w:val="27"/>
          <w:szCs w:val="27"/>
        </w:rPr>
        <w:t>а</w:t>
      </w:r>
      <w:r w:rsidRPr="00333952">
        <w:rPr>
          <w:sz w:val="27"/>
          <w:szCs w:val="27"/>
        </w:rPr>
        <w:t xml:space="preserve"> в сфере холодного водоснабжения», от </w:t>
      </w:r>
      <w:r w:rsidR="00333952" w:rsidRPr="00333952">
        <w:rPr>
          <w:sz w:val="27"/>
          <w:szCs w:val="27"/>
        </w:rPr>
        <w:t>19.06</w:t>
      </w:r>
      <w:r w:rsidRPr="00333952">
        <w:rPr>
          <w:sz w:val="27"/>
          <w:szCs w:val="27"/>
        </w:rPr>
        <w:t>.20</w:t>
      </w:r>
      <w:r w:rsidR="00333952" w:rsidRPr="00333952">
        <w:rPr>
          <w:sz w:val="27"/>
          <w:szCs w:val="27"/>
        </w:rPr>
        <w:t>20 № 10</w:t>
      </w:r>
      <w:r w:rsidRPr="00333952">
        <w:rPr>
          <w:sz w:val="27"/>
          <w:szCs w:val="27"/>
        </w:rPr>
        <w:t xml:space="preserve"> «</w:t>
      </w:r>
      <w:r w:rsidR="00333952" w:rsidRPr="00333952">
        <w:rPr>
          <w:sz w:val="27"/>
          <w:szCs w:val="27"/>
        </w:rPr>
        <w:t xml:space="preserve">Об </w:t>
      </w:r>
      <w:r w:rsidR="00333952" w:rsidRPr="00333952">
        <w:rPr>
          <w:color w:val="000000"/>
          <w:sz w:val="27"/>
          <w:szCs w:val="27"/>
          <w:shd w:val="clear" w:color="auto" w:fill="FFFFFF"/>
        </w:rPr>
        <w:t>у</w:t>
      </w:r>
      <w:r w:rsidR="00333952" w:rsidRPr="00333952">
        <w:rPr>
          <w:sz w:val="27"/>
          <w:szCs w:val="27"/>
        </w:rPr>
        <w:t xml:space="preserve">становлении </w:t>
      </w:r>
      <w:r w:rsidR="00333952" w:rsidRPr="00333952">
        <w:rPr>
          <w:bCs/>
          <w:sz w:val="27"/>
          <w:szCs w:val="27"/>
        </w:rPr>
        <w:t xml:space="preserve">МУП ЖКХ «Ахтубинские водопроводы» МО «Ахтубинский район» (ОГРН 1183025002819) </w:t>
      </w:r>
      <w:r w:rsidR="00333952" w:rsidRPr="00333952">
        <w:rPr>
          <w:sz w:val="27"/>
          <w:szCs w:val="27"/>
        </w:rPr>
        <w:t>тарифа в сфере водоотведения</w:t>
      </w:r>
      <w:r w:rsidRPr="00333952">
        <w:rPr>
          <w:sz w:val="27"/>
          <w:szCs w:val="27"/>
        </w:rPr>
        <w:t>».</w:t>
      </w:r>
    </w:p>
    <w:p w:rsidR="00975689" w:rsidRPr="00333952" w:rsidRDefault="00975689" w:rsidP="006A26AD">
      <w:pPr>
        <w:pStyle w:val="aa"/>
        <w:numPr>
          <w:ilvl w:val="0"/>
          <w:numId w:val="20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33952">
        <w:rPr>
          <w:sz w:val="27"/>
          <w:szCs w:val="27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33952">
        <w:rPr>
          <w:sz w:val="27"/>
          <w:szCs w:val="27"/>
        </w:rPr>
        <w:t xml:space="preserve"> В срок не</w:t>
      </w:r>
      <w:r w:rsidRPr="003A749E">
        <w:rPr>
          <w:sz w:val="27"/>
          <w:szCs w:val="27"/>
        </w:rPr>
        <w:t xml:space="preserve">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 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течение семи рабочих дней со дня принятия </w:t>
      </w:r>
      <w:r w:rsidRPr="003A749E">
        <w:rPr>
          <w:sz w:val="27"/>
          <w:szCs w:val="27"/>
        </w:rPr>
        <w:br/>
        <w:t>направить копию постановления и копию</w:t>
      </w:r>
      <w:r w:rsidR="00537212" w:rsidRPr="003A749E">
        <w:rPr>
          <w:sz w:val="27"/>
          <w:szCs w:val="27"/>
        </w:rPr>
        <w:t xml:space="preserve"> настоящего</w:t>
      </w:r>
      <w:r w:rsidRPr="003A749E">
        <w:rPr>
          <w:sz w:val="27"/>
          <w:szCs w:val="27"/>
        </w:rPr>
        <w:t xml:space="preserve"> протокола </w:t>
      </w:r>
      <w:r w:rsidRPr="003A749E">
        <w:rPr>
          <w:sz w:val="27"/>
          <w:szCs w:val="27"/>
        </w:rPr>
        <w:br/>
        <w:t xml:space="preserve">заседания коллегии службы по тарифам Астраханской области </w:t>
      </w:r>
      <w:r w:rsidRPr="003A749E">
        <w:rPr>
          <w:sz w:val="27"/>
          <w:szCs w:val="27"/>
        </w:rPr>
        <w:br/>
        <w:t xml:space="preserve">в </w:t>
      </w:r>
      <w:r w:rsidR="00303F2B">
        <w:rPr>
          <w:bCs/>
          <w:sz w:val="27"/>
          <w:szCs w:val="27"/>
        </w:rPr>
        <w:t>МУП ЖКХ «Ахтубинские водопроводы» МО «Ахтубинский район»</w:t>
      </w:r>
      <w:r w:rsidRPr="003A749E">
        <w:rPr>
          <w:bCs/>
          <w:sz w:val="27"/>
          <w:szCs w:val="27"/>
        </w:rPr>
        <w:t xml:space="preserve"> (ОГРН </w:t>
      </w:r>
      <w:r w:rsidR="00303F2B">
        <w:rPr>
          <w:bCs/>
          <w:sz w:val="27"/>
          <w:szCs w:val="27"/>
        </w:rPr>
        <w:t>1183025002819</w:t>
      </w:r>
      <w:r w:rsidRPr="003A749E">
        <w:rPr>
          <w:bCs/>
          <w:sz w:val="27"/>
          <w:szCs w:val="27"/>
        </w:rPr>
        <w:t>)</w:t>
      </w:r>
      <w:r w:rsidRPr="003A749E">
        <w:rPr>
          <w:sz w:val="27"/>
          <w:szCs w:val="27"/>
        </w:rPr>
        <w:t>.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течение семи рабочих дней </w:t>
      </w:r>
      <w:r w:rsidR="00537212" w:rsidRPr="003A749E">
        <w:rPr>
          <w:sz w:val="27"/>
          <w:szCs w:val="27"/>
        </w:rPr>
        <w:t xml:space="preserve">со дня принятия направить копию </w:t>
      </w:r>
      <w:r w:rsidRPr="003A749E">
        <w:rPr>
          <w:sz w:val="27"/>
          <w:szCs w:val="27"/>
        </w:rPr>
        <w:t>постановления и копию</w:t>
      </w:r>
      <w:r w:rsidR="00537212" w:rsidRPr="003A749E">
        <w:rPr>
          <w:sz w:val="27"/>
          <w:szCs w:val="27"/>
        </w:rPr>
        <w:t xml:space="preserve"> настоящего</w:t>
      </w:r>
      <w:r w:rsidRPr="003A749E">
        <w:rPr>
          <w:sz w:val="27"/>
          <w:szCs w:val="27"/>
        </w:rPr>
        <w:t xml:space="preserve"> протокола заседания коллегии службы по </w:t>
      </w:r>
      <w:r w:rsidR="00912946" w:rsidRPr="003A749E">
        <w:rPr>
          <w:sz w:val="27"/>
          <w:szCs w:val="27"/>
        </w:rPr>
        <w:t xml:space="preserve">тарифам Астраханской области </w:t>
      </w:r>
      <w:r w:rsidRPr="003A749E">
        <w:rPr>
          <w:sz w:val="27"/>
          <w:szCs w:val="27"/>
        </w:rPr>
        <w:t>в Федеральную антимонопольную службу в электронном виде.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Не позднее семи рабочих дней со дня подписания направить копию постановления в прокуратуру Астраханской области.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bookmarkStart w:id="1" w:name="sub_46"/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семидневный срок со дня подписания обеспечить включение постановления в справочно-правовые системы «КонсультантПлюс» ООО</w:t>
      </w:r>
      <w:r w:rsidR="00537212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«РентаСервис» и «Гарант» ООО «Астрахань-Гарант-Сервис».</w:t>
      </w:r>
      <w:bookmarkEnd w:id="1"/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lastRenderedPageBreak/>
        <w:t xml:space="preserve"> В течение пяти календарных дней со дня принятия разместить постановление и </w:t>
      </w:r>
      <w:r w:rsidR="00537212" w:rsidRPr="003A749E">
        <w:rPr>
          <w:sz w:val="27"/>
          <w:szCs w:val="27"/>
        </w:rPr>
        <w:t xml:space="preserve">настоящий протокол </w:t>
      </w:r>
      <w:r w:rsidRPr="003A749E">
        <w:rPr>
          <w:sz w:val="27"/>
          <w:szCs w:val="27"/>
        </w:rPr>
        <w:t>заседания коллегии службы по тарифам Астраханской области на сайте службы по тарифам Астраханской области (</w:t>
      </w:r>
      <w:r w:rsidRPr="003A749E">
        <w:rPr>
          <w:sz w:val="27"/>
          <w:szCs w:val="27"/>
          <w:lang w:val="en-US"/>
        </w:rPr>
        <w:t>http</w:t>
      </w:r>
      <w:r w:rsidRPr="003A749E">
        <w:rPr>
          <w:sz w:val="27"/>
          <w:szCs w:val="27"/>
        </w:rPr>
        <w:t>://astrtarif.ru) в информационно-телекоммуникационной сети «Интернет».</w:t>
      </w:r>
    </w:p>
    <w:p w:rsidR="00E75871" w:rsidRPr="003A749E" w:rsidRDefault="00E75871" w:rsidP="008A094D">
      <w:pPr>
        <w:suppressAutoHyphens/>
        <w:ind w:firstLine="851"/>
        <w:jc w:val="both"/>
        <w:rPr>
          <w:sz w:val="27"/>
          <w:szCs w:val="27"/>
        </w:rPr>
      </w:pPr>
    </w:p>
    <w:p w:rsidR="00483717" w:rsidRPr="003A749E" w:rsidRDefault="00483717" w:rsidP="008A094D">
      <w:pPr>
        <w:suppressAutoHyphens/>
        <w:ind w:firstLine="851"/>
        <w:jc w:val="both"/>
        <w:rPr>
          <w:sz w:val="27"/>
          <w:szCs w:val="27"/>
        </w:rPr>
      </w:pPr>
    </w:p>
    <w:p w:rsidR="00483717" w:rsidRPr="003A749E" w:rsidRDefault="00483717" w:rsidP="008A094D">
      <w:pPr>
        <w:suppressAutoHyphens/>
        <w:ind w:firstLine="851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3111"/>
      </w:tblGrid>
      <w:tr w:rsidR="003B28D6" w:rsidRPr="00172232" w:rsidTr="00F766BC">
        <w:trPr>
          <w:trHeight w:val="567"/>
        </w:trPr>
        <w:tc>
          <w:tcPr>
            <w:tcW w:w="3635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3B28D6" w:rsidRPr="00172232" w:rsidTr="00F766BC">
        <w:trPr>
          <w:trHeight w:val="340"/>
        </w:trPr>
        <w:tc>
          <w:tcPr>
            <w:tcW w:w="3635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3B28D6" w:rsidRPr="00172232" w:rsidTr="00F766BC">
        <w:trPr>
          <w:trHeight w:val="340"/>
        </w:trPr>
        <w:tc>
          <w:tcPr>
            <w:tcW w:w="3635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Д.В. Луковников</w:t>
            </w:r>
          </w:p>
        </w:tc>
      </w:tr>
      <w:tr w:rsidR="003B28D6" w:rsidRPr="00172232" w:rsidTr="00F766BC">
        <w:trPr>
          <w:trHeight w:val="340"/>
        </w:trPr>
        <w:tc>
          <w:tcPr>
            <w:tcW w:w="3635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Г.Г. Белунина</w:t>
            </w:r>
          </w:p>
        </w:tc>
      </w:tr>
      <w:tr w:rsidR="003B28D6" w:rsidRPr="00172232" w:rsidTr="00F766BC">
        <w:trPr>
          <w:trHeight w:val="340"/>
        </w:trPr>
        <w:tc>
          <w:tcPr>
            <w:tcW w:w="3635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3B28D6" w:rsidRPr="00172232" w:rsidTr="00F766BC">
        <w:trPr>
          <w:trHeight w:val="340"/>
        </w:trPr>
        <w:tc>
          <w:tcPr>
            <w:tcW w:w="3635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3B28D6" w:rsidRPr="00172232" w:rsidRDefault="003B28D6" w:rsidP="00F766BC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                 Л.А. Турасова</w:t>
            </w:r>
          </w:p>
        </w:tc>
      </w:tr>
      <w:tr w:rsidR="003B28D6" w:rsidRPr="00172232" w:rsidTr="00F766BC">
        <w:trPr>
          <w:trHeight w:val="340"/>
        </w:trPr>
        <w:tc>
          <w:tcPr>
            <w:tcW w:w="3635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3B28D6" w:rsidRPr="00172232" w:rsidTr="00F766BC">
        <w:trPr>
          <w:trHeight w:val="340"/>
        </w:trPr>
        <w:tc>
          <w:tcPr>
            <w:tcW w:w="3635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3B28D6" w:rsidRPr="00172232" w:rsidRDefault="003B28D6" w:rsidP="00F766B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E75871" w:rsidRPr="003A749E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226723" w:rsidRPr="00687FC9" w:rsidRDefault="00226723" w:rsidP="00F7164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687FC9" w:rsidSect="003F6FAE">
      <w:headerReference w:type="even" r:id="rId9"/>
      <w:headerReference w:type="default" r:id="rId10"/>
      <w:pgSz w:w="11906" w:h="16838"/>
      <w:pgMar w:top="426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BC6" w:rsidRDefault="006D1BC6">
      <w:r>
        <w:separator/>
      </w:r>
    </w:p>
  </w:endnote>
  <w:endnote w:type="continuationSeparator" w:id="0">
    <w:p w:rsidR="006D1BC6" w:rsidRDefault="006D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BC6" w:rsidRDefault="006D1BC6">
      <w:r>
        <w:separator/>
      </w:r>
    </w:p>
  </w:footnote>
  <w:footnote w:type="continuationSeparator" w:id="0">
    <w:p w:rsidR="006D1BC6" w:rsidRDefault="006D1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585" w:rsidRDefault="001F558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1F5585" w:rsidRDefault="001F558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585" w:rsidRPr="009201B2" w:rsidRDefault="001F5585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865F8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1F5585" w:rsidRDefault="001F55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997"/>
    <w:multiLevelType w:val="multilevel"/>
    <w:tmpl w:val="C870238C"/>
    <w:lvl w:ilvl="0">
      <w:start w:val="5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2DA56E7"/>
    <w:multiLevelType w:val="hybridMultilevel"/>
    <w:tmpl w:val="3DDC81EE"/>
    <w:lvl w:ilvl="0" w:tplc="8DFC9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762674"/>
    <w:multiLevelType w:val="multilevel"/>
    <w:tmpl w:val="B852BAE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F365BCF"/>
    <w:multiLevelType w:val="multilevel"/>
    <w:tmpl w:val="DE34EDD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503A7D1B"/>
    <w:multiLevelType w:val="multilevel"/>
    <w:tmpl w:val="F8F8DC36"/>
    <w:lvl w:ilvl="0">
      <w:start w:val="5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4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AB466E"/>
    <w:multiLevelType w:val="hybridMultilevel"/>
    <w:tmpl w:val="5D0884EE"/>
    <w:lvl w:ilvl="0" w:tplc="91587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9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2">
    <w:nsid w:val="6D744B04"/>
    <w:multiLevelType w:val="multilevel"/>
    <w:tmpl w:val="5FC2FC6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E062BCA"/>
    <w:multiLevelType w:val="multilevel"/>
    <w:tmpl w:val="093473AA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4">
    <w:nsid w:val="76974BB3"/>
    <w:multiLevelType w:val="hybridMultilevel"/>
    <w:tmpl w:val="D3A4E666"/>
    <w:lvl w:ilvl="0" w:tplc="72F8051E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"/>
  </w:num>
  <w:num w:numId="5">
    <w:abstractNumId w:val="26"/>
  </w:num>
  <w:num w:numId="6">
    <w:abstractNumId w:val="4"/>
  </w:num>
  <w:num w:numId="7">
    <w:abstractNumId w:val="14"/>
  </w:num>
  <w:num w:numId="8">
    <w:abstractNumId w:val="16"/>
  </w:num>
  <w:num w:numId="9">
    <w:abstractNumId w:val="6"/>
  </w:num>
  <w:num w:numId="10">
    <w:abstractNumId w:val="3"/>
  </w:num>
  <w:num w:numId="11">
    <w:abstractNumId w:val="8"/>
  </w:num>
  <w:num w:numId="12">
    <w:abstractNumId w:val="11"/>
  </w:num>
  <w:num w:numId="13">
    <w:abstractNumId w:val="18"/>
  </w:num>
  <w:num w:numId="14">
    <w:abstractNumId w:val="19"/>
  </w:num>
  <w:num w:numId="15">
    <w:abstractNumId w:val="20"/>
  </w:num>
  <w:num w:numId="16">
    <w:abstractNumId w:val="15"/>
  </w:num>
  <w:num w:numId="17">
    <w:abstractNumId w:val="25"/>
  </w:num>
  <w:num w:numId="18">
    <w:abstractNumId w:val="12"/>
  </w:num>
  <w:num w:numId="19">
    <w:abstractNumId w:val="7"/>
  </w:num>
  <w:num w:numId="20">
    <w:abstractNumId w:val="23"/>
  </w:num>
  <w:num w:numId="21">
    <w:abstractNumId w:val="13"/>
  </w:num>
  <w:num w:numId="22">
    <w:abstractNumId w:val="1"/>
  </w:num>
  <w:num w:numId="23">
    <w:abstractNumId w:val="24"/>
  </w:num>
  <w:num w:numId="24">
    <w:abstractNumId w:val="17"/>
  </w:num>
  <w:num w:numId="25">
    <w:abstractNumId w:val="22"/>
  </w:num>
  <w:num w:numId="26">
    <w:abstractNumId w:val="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1D44"/>
    <w:rsid w:val="00002BA3"/>
    <w:rsid w:val="0000379E"/>
    <w:rsid w:val="00003B36"/>
    <w:rsid w:val="00003F04"/>
    <w:rsid w:val="00005AF7"/>
    <w:rsid w:val="00006435"/>
    <w:rsid w:val="000108EB"/>
    <w:rsid w:val="00010BCA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0B2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3E0"/>
    <w:rsid w:val="00034E09"/>
    <w:rsid w:val="00035F0F"/>
    <w:rsid w:val="00036427"/>
    <w:rsid w:val="00042941"/>
    <w:rsid w:val="00042FBD"/>
    <w:rsid w:val="0004321A"/>
    <w:rsid w:val="00043847"/>
    <w:rsid w:val="000451F4"/>
    <w:rsid w:val="00047E86"/>
    <w:rsid w:val="00051B66"/>
    <w:rsid w:val="00051CF6"/>
    <w:rsid w:val="00052949"/>
    <w:rsid w:val="00053C30"/>
    <w:rsid w:val="00054C6B"/>
    <w:rsid w:val="00057376"/>
    <w:rsid w:val="0005756B"/>
    <w:rsid w:val="00062BBA"/>
    <w:rsid w:val="00063487"/>
    <w:rsid w:val="00065447"/>
    <w:rsid w:val="00065DF8"/>
    <w:rsid w:val="000663DD"/>
    <w:rsid w:val="000668CC"/>
    <w:rsid w:val="00067B22"/>
    <w:rsid w:val="000708F7"/>
    <w:rsid w:val="00071FC4"/>
    <w:rsid w:val="000723E3"/>
    <w:rsid w:val="00074B86"/>
    <w:rsid w:val="000755C4"/>
    <w:rsid w:val="00083A35"/>
    <w:rsid w:val="00084EF2"/>
    <w:rsid w:val="00086327"/>
    <w:rsid w:val="0009013D"/>
    <w:rsid w:val="00091870"/>
    <w:rsid w:val="00092520"/>
    <w:rsid w:val="0009322E"/>
    <w:rsid w:val="0009351A"/>
    <w:rsid w:val="00093CF8"/>
    <w:rsid w:val="00093ED6"/>
    <w:rsid w:val="00094AA2"/>
    <w:rsid w:val="00094D21"/>
    <w:rsid w:val="000A01CB"/>
    <w:rsid w:val="000A165D"/>
    <w:rsid w:val="000A3FBA"/>
    <w:rsid w:val="000A427C"/>
    <w:rsid w:val="000A64F2"/>
    <w:rsid w:val="000A686B"/>
    <w:rsid w:val="000B20DC"/>
    <w:rsid w:val="000B23D7"/>
    <w:rsid w:val="000B2ACA"/>
    <w:rsid w:val="000B2C13"/>
    <w:rsid w:val="000B4C39"/>
    <w:rsid w:val="000B4DB9"/>
    <w:rsid w:val="000B56DE"/>
    <w:rsid w:val="000B6EF6"/>
    <w:rsid w:val="000B7D31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E5B6B"/>
    <w:rsid w:val="000E5CB6"/>
    <w:rsid w:val="000F2B04"/>
    <w:rsid w:val="000F466E"/>
    <w:rsid w:val="000F494F"/>
    <w:rsid w:val="000F5A91"/>
    <w:rsid w:val="000F654C"/>
    <w:rsid w:val="000F65AC"/>
    <w:rsid w:val="000F6DF2"/>
    <w:rsid w:val="000F7935"/>
    <w:rsid w:val="001013C0"/>
    <w:rsid w:val="00101BB8"/>
    <w:rsid w:val="00103B14"/>
    <w:rsid w:val="00104354"/>
    <w:rsid w:val="00105518"/>
    <w:rsid w:val="00113827"/>
    <w:rsid w:val="001138F9"/>
    <w:rsid w:val="00113E8B"/>
    <w:rsid w:val="00116E88"/>
    <w:rsid w:val="00117F7D"/>
    <w:rsid w:val="0012468A"/>
    <w:rsid w:val="001252FF"/>
    <w:rsid w:val="00125F15"/>
    <w:rsid w:val="00127030"/>
    <w:rsid w:val="0013026F"/>
    <w:rsid w:val="001309FD"/>
    <w:rsid w:val="001342AB"/>
    <w:rsid w:val="001342AF"/>
    <w:rsid w:val="00135A30"/>
    <w:rsid w:val="00136E18"/>
    <w:rsid w:val="001408A6"/>
    <w:rsid w:val="0014300E"/>
    <w:rsid w:val="0014304A"/>
    <w:rsid w:val="001473CE"/>
    <w:rsid w:val="00150749"/>
    <w:rsid w:val="00152B04"/>
    <w:rsid w:val="00152D7A"/>
    <w:rsid w:val="00152E1B"/>
    <w:rsid w:val="001551A3"/>
    <w:rsid w:val="00155D7C"/>
    <w:rsid w:val="00155FEE"/>
    <w:rsid w:val="00160123"/>
    <w:rsid w:val="00160F29"/>
    <w:rsid w:val="0016199A"/>
    <w:rsid w:val="00161B00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84269"/>
    <w:rsid w:val="0019095F"/>
    <w:rsid w:val="00193CD6"/>
    <w:rsid w:val="00195072"/>
    <w:rsid w:val="0019713A"/>
    <w:rsid w:val="00197E96"/>
    <w:rsid w:val="001A0D87"/>
    <w:rsid w:val="001A1860"/>
    <w:rsid w:val="001A1A41"/>
    <w:rsid w:val="001A238B"/>
    <w:rsid w:val="001A3DAB"/>
    <w:rsid w:val="001A46F7"/>
    <w:rsid w:val="001A4E1E"/>
    <w:rsid w:val="001A5CA8"/>
    <w:rsid w:val="001B002C"/>
    <w:rsid w:val="001B180C"/>
    <w:rsid w:val="001B341A"/>
    <w:rsid w:val="001B4700"/>
    <w:rsid w:val="001B4878"/>
    <w:rsid w:val="001B5A93"/>
    <w:rsid w:val="001B6762"/>
    <w:rsid w:val="001C3667"/>
    <w:rsid w:val="001C6CDD"/>
    <w:rsid w:val="001C762A"/>
    <w:rsid w:val="001D2226"/>
    <w:rsid w:val="001D2259"/>
    <w:rsid w:val="001D5667"/>
    <w:rsid w:val="001D600B"/>
    <w:rsid w:val="001E1232"/>
    <w:rsid w:val="001E2239"/>
    <w:rsid w:val="001E544D"/>
    <w:rsid w:val="001E55F7"/>
    <w:rsid w:val="001F01A2"/>
    <w:rsid w:val="001F0C60"/>
    <w:rsid w:val="001F3D03"/>
    <w:rsid w:val="001F3EC9"/>
    <w:rsid w:val="001F5585"/>
    <w:rsid w:val="001F6B40"/>
    <w:rsid w:val="001F6EA6"/>
    <w:rsid w:val="001F77D4"/>
    <w:rsid w:val="0020054D"/>
    <w:rsid w:val="002007C0"/>
    <w:rsid w:val="0020087F"/>
    <w:rsid w:val="00200D4F"/>
    <w:rsid w:val="00202010"/>
    <w:rsid w:val="002023F2"/>
    <w:rsid w:val="00206E5C"/>
    <w:rsid w:val="00210BD8"/>
    <w:rsid w:val="0021295A"/>
    <w:rsid w:val="0021346C"/>
    <w:rsid w:val="002138F8"/>
    <w:rsid w:val="00213BA8"/>
    <w:rsid w:val="00214333"/>
    <w:rsid w:val="00215703"/>
    <w:rsid w:val="0021582A"/>
    <w:rsid w:val="0021660C"/>
    <w:rsid w:val="00221A78"/>
    <w:rsid w:val="00222B45"/>
    <w:rsid w:val="002252F7"/>
    <w:rsid w:val="00225A30"/>
    <w:rsid w:val="00226723"/>
    <w:rsid w:val="00227679"/>
    <w:rsid w:val="00231941"/>
    <w:rsid w:val="00231DDC"/>
    <w:rsid w:val="00231DE9"/>
    <w:rsid w:val="0023455E"/>
    <w:rsid w:val="00243F15"/>
    <w:rsid w:val="00247474"/>
    <w:rsid w:val="00250606"/>
    <w:rsid w:val="0025084C"/>
    <w:rsid w:val="002518ED"/>
    <w:rsid w:val="00253C2F"/>
    <w:rsid w:val="0025598A"/>
    <w:rsid w:val="00256F2F"/>
    <w:rsid w:val="00257CBC"/>
    <w:rsid w:val="002606E5"/>
    <w:rsid w:val="00262029"/>
    <w:rsid w:val="00262D02"/>
    <w:rsid w:val="00262EC3"/>
    <w:rsid w:val="00263EF0"/>
    <w:rsid w:val="00265F54"/>
    <w:rsid w:val="002666AD"/>
    <w:rsid w:val="002673CA"/>
    <w:rsid w:val="002675CF"/>
    <w:rsid w:val="00270422"/>
    <w:rsid w:val="00270C21"/>
    <w:rsid w:val="00272743"/>
    <w:rsid w:val="00273399"/>
    <w:rsid w:val="00275181"/>
    <w:rsid w:val="0027598D"/>
    <w:rsid w:val="00276F56"/>
    <w:rsid w:val="002775A1"/>
    <w:rsid w:val="002775DA"/>
    <w:rsid w:val="00277F6C"/>
    <w:rsid w:val="0028055A"/>
    <w:rsid w:val="00281246"/>
    <w:rsid w:val="0028233F"/>
    <w:rsid w:val="00283879"/>
    <w:rsid w:val="002838D5"/>
    <w:rsid w:val="00284AD3"/>
    <w:rsid w:val="00285083"/>
    <w:rsid w:val="002864EA"/>
    <w:rsid w:val="00286990"/>
    <w:rsid w:val="00286D0B"/>
    <w:rsid w:val="00287129"/>
    <w:rsid w:val="00292B3A"/>
    <w:rsid w:val="002936DC"/>
    <w:rsid w:val="002A11D8"/>
    <w:rsid w:val="002A1B10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65C"/>
    <w:rsid w:val="002B2B33"/>
    <w:rsid w:val="002B2C0C"/>
    <w:rsid w:val="002B3F02"/>
    <w:rsid w:val="002B43BD"/>
    <w:rsid w:val="002B4840"/>
    <w:rsid w:val="002B4D1F"/>
    <w:rsid w:val="002B50D9"/>
    <w:rsid w:val="002C0D4F"/>
    <w:rsid w:val="002C1744"/>
    <w:rsid w:val="002C323E"/>
    <w:rsid w:val="002C4ABC"/>
    <w:rsid w:val="002C752D"/>
    <w:rsid w:val="002C7A25"/>
    <w:rsid w:val="002D18C4"/>
    <w:rsid w:val="002D19C0"/>
    <w:rsid w:val="002D3124"/>
    <w:rsid w:val="002D4E70"/>
    <w:rsid w:val="002D509E"/>
    <w:rsid w:val="002D5B00"/>
    <w:rsid w:val="002D72CF"/>
    <w:rsid w:val="002E4529"/>
    <w:rsid w:val="002E452C"/>
    <w:rsid w:val="002E76B6"/>
    <w:rsid w:val="002E788A"/>
    <w:rsid w:val="002F0D7A"/>
    <w:rsid w:val="002F2859"/>
    <w:rsid w:val="002F51DB"/>
    <w:rsid w:val="002F56EA"/>
    <w:rsid w:val="00301654"/>
    <w:rsid w:val="00302A34"/>
    <w:rsid w:val="00303946"/>
    <w:rsid w:val="00303F2B"/>
    <w:rsid w:val="00304034"/>
    <w:rsid w:val="00304571"/>
    <w:rsid w:val="00304B54"/>
    <w:rsid w:val="00304D48"/>
    <w:rsid w:val="00305017"/>
    <w:rsid w:val="003112C8"/>
    <w:rsid w:val="0031167C"/>
    <w:rsid w:val="00312F00"/>
    <w:rsid w:val="003136DC"/>
    <w:rsid w:val="003151C9"/>
    <w:rsid w:val="0031574D"/>
    <w:rsid w:val="00316AF0"/>
    <w:rsid w:val="003210F0"/>
    <w:rsid w:val="003215D4"/>
    <w:rsid w:val="003238B4"/>
    <w:rsid w:val="00325B99"/>
    <w:rsid w:val="003261A2"/>
    <w:rsid w:val="00326D4E"/>
    <w:rsid w:val="00327AA1"/>
    <w:rsid w:val="00330A6D"/>
    <w:rsid w:val="003321E1"/>
    <w:rsid w:val="003325A9"/>
    <w:rsid w:val="00333952"/>
    <w:rsid w:val="00334352"/>
    <w:rsid w:val="0033559E"/>
    <w:rsid w:val="00336315"/>
    <w:rsid w:val="0033680E"/>
    <w:rsid w:val="00337319"/>
    <w:rsid w:val="00341318"/>
    <w:rsid w:val="003421FD"/>
    <w:rsid w:val="0034387D"/>
    <w:rsid w:val="0034489F"/>
    <w:rsid w:val="0034616E"/>
    <w:rsid w:val="003468AA"/>
    <w:rsid w:val="003505B6"/>
    <w:rsid w:val="00351878"/>
    <w:rsid w:val="00353FD0"/>
    <w:rsid w:val="00354E32"/>
    <w:rsid w:val="003556B5"/>
    <w:rsid w:val="00355DB2"/>
    <w:rsid w:val="003570E8"/>
    <w:rsid w:val="00357257"/>
    <w:rsid w:val="0035760F"/>
    <w:rsid w:val="00360A5C"/>
    <w:rsid w:val="00360DFE"/>
    <w:rsid w:val="00360EF9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2BE1"/>
    <w:rsid w:val="00383225"/>
    <w:rsid w:val="00383EF4"/>
    <w:rsid w:val="003845E3"/>
    <w:rsid w:val="00384A0A"/>
    <w:rsid w:val="00386D8A"/>
    <w:rsid w:val="00386FBC"/>
    <w:rsid w:val="00387784"/>
    <w:rsid w:val="00394E42"/>
    <w:rsid w:val="00397CF6"/>
    <w:rsid w:val="003A0953"/>
    <w:rsid w:val="003A45C1"/>
    <w:rsid w:val="003A57F6"/>
    <w:rsid w:val="003A636B"/>
    <w:rsid w:val="003A69C2"/>
    <w:rsid w:val="003A6EEB"/>
    <w:rsid w:val="003A749E"/>
    <w:rsid w:val="003B2609"/>
    <w:rsid w:val="003B28D6"/>
    <w:rsid w:val="003B53B2"/>
    <w:rsid w:val="003C229A"/>
    <w:rsid w:val="003C3636"/>
    <w:rsid w:val="003C39BE"/>
    <w:rsid w:val="003C482D"/>
    <w:rsid w:val="003C48B3"/>
    <w:rsid w:val="003C5483"/>
    <w:rsid w:val="003D515B"/>
    <w:rsid w:val="003D5D54"/>
    <w:rsid w:val="003D7278"/>
    <w:rsid w:val="003D7842"/>
    <w:rsid w:val="003E1BD6"/>
    <w:rsid w:val="003E2657"/>
    <w:rsid w:val="003E3270"/>
    <w:rsid w:val="003E3429"/>
    <w:rsid w:val="003E46A3"/>
    <w:rsid w:val="003E4A25"/>
    <w:rsid w:val="003E4C05"/>
    <w:rsid w:val="003E596B"/>
    <w:rsid w:val="003E5CB8"/>
    <w:rsid w:val="003E630B"/>
    <w:rsid w:val="003E636B"/>
    <w:rsid w:val="003E640B"/>
    <w:rsid w:val="003E6CAC"/>
    <w:rsid w:val="003F02B6"/>
    <w:rsid w:val="003F2B6B"/>
    <w:rsid w:val="003F2C52"/>
    <w:rsid w:val="003F36B0"/>
    <w:rsid w:val="003F4AEE"/>
    <w:rsid w:val="003F6FAE"/>
    <w:rsid w:val="00400A97"/>
    <w:rsid w:val="0040145D"/>
    <w:rsid w:val="00401642"/>
    <w:rsid w:val="00401DF9"/>
    <w:rsid w:val="00402DE1"/>
    <w:rsid w:val="00404E32"/>
    <w:rsid w:val="00405B19"/>
    <w:rsid w:val="00406713"/>
    <w:rsid w:val="00407638"/>
    <w:rsid w:val="00407D5A"/>
    <w:rsid w:val="00407F3C"/>
    <w:rsid w:val="004116DC"/>
    <w:rsid w:val="00413F8D"/>
    <w:rsid w:val="0041461C"/>
    <w:rsid w:val="00415802"/>
    <w:rsid w:val="00417E73"/>
    <w:rsid w:val="00420B42"/>
    <w:rsid w:val="00425C7E"/>
    <w:rsid w:val="004326A4"/>
    <w:rsid w:val="00433424"/>
    <w:rsid w:val="0043391F"/>
    <w:rsid w:val="00434671"/>
    <w:rsid w:val="00435677"/>
    <w:rsid w:val="00435D57"/>
    <w:rsid w:val="00435DBC"/>
    <w:rsid w:val="00435F5C"/>
    <w:rsid w:val="0044023A"/>
    <w:rsid w:val="004403FB"/>
    <w:rsid w:val="00440EF4"/>
    <w:rsid w:val="004414E3"/>
    <w:rsid w:val="00442224"/>
    <w:rsid w:val="00445858"/>
    <w:rsid w:val="0044595C"/>
    <w:rsid w:val="00447038"/>
    <w:rsid w:val="00447B5E"/>
    <w:rsid w:val="0045130B"/>
    <w:rsid w:val="00455CA1"/>
    <w:rsid w:val="00455DD6"/>
    <w:rsid w:val="00455DFB"/>
    <w:rsid w:val="00456C10"/>
    <w:rsid w:val="00457F89"/>
    <w:rsid w:val="004600D8"/>
    <w:rsid w:val="00460A00"/>
    <w:rsid w:val="00461BAC"/>
    <w:rsid w:val="00464B5A"/>
    <w:rsid w:val="00466674"/>
    <w:rsid w:val="00470009"/>
    <w:rsid w:val="00470F80"/>
    <w:rsid w:val="00471A09"/>
    <w:rsid w:val="00471EFF"/>
    <w:rsid w:val="004723BF"/>
    <w:rsid w:val="004729BE"/>
    <w:rsid w:val="00473FED"/>
    <w:rsid w:val="00475E78"/>
    <w:rsid w:val="00476529"/>
    <w:rsid w:val="00476DAD"/>
    <w:rsid w:val="00482D6C"/>
    <w:rsid w:val="00483717"/>
    <w:rsid w:val="00485968"/>
    <w:rsid w:val="00491364"/>
    <w:rsid w:val="00491E64"/>
    <w:rsid w:val="0049297C"/>
    <w:rsid w:val="004936BE"/>
    <w:rsid w:val="00493D78"/>
    <w:rsid w:val="0049444F"/>
    <w:rsid w:val="00495208"/>
    <w:rsid w:val="004968FA"/>
    <w:rsid w:val="004A01F6"/>
    <w:rsid w:val="004A1765"/>
    <w:rsid w:val="004A1EF1"/>
    <w:rsid w:val="004A451D"/>
    <w:rsid w:val="004A76E8"/>
    <w:rsid w:val="004B0731"/>
    <w:rsid w:val="004B0C33"/>
    <w:rsid w:val="004B35CD"/>
    <w:rsid w:val="004B3708"/>
    <w:rsid w:val="004B4E62"/>
    <w:rsid w:val="004B5C7B"/>
    <w:rsid w:val="004B6A30"/>
    <w:rsid w:val="004C08D9"/>
    <w:rsid w:val="004C178A"/>
    <w:rsid w:val="004C1C29"/>
    <w:rsid w:val="004C2D63"/>
    <w:rsid w:val="004C60BC"/>
    <w:rsid w:val="004C64C4"/>
    <w:rsid w:val="004C6758"/>
    <w:rsid w:val="004D0E54"/>
    <w:rsid w:val="004D1C72"/>
    <w:rsid w:val="004D24CD"/>
    <w:rsid w:val="004D2706"/>
    <w:rsid w:val="004D4B28"/>
    <w:rsid w:val="004D6FA3"/>
    <w:rsid w:val="004D7D1D"/>
    <w:rsid w:val="004E043F"/>
    <w:rsid w:val="004E062C"/>
    <w:rsid w:val="004E20D4"/>
    <w:rsid w:val="004E2B63"/>
    <w:rsid w:val="004E33DA"/>
    <w:rsid w:val="004E4CE4"/>
    <w:rsid w:val="004E5689"/>
    <w:rsid w:val="004E57A1"/>
    <w:rsid w:val="004E6D22"/>
    <w:rsid w:val="004E6E26"/>
    <w:rsid w:val="004E78DB"/>
    <w:rsid w:val="004F021D"/>
    <w:rsid w:val="004F143E"/>
    <w:rsid w:val="004F5615"/>
    <w:rsid w:val="004F5F3E"/>
    <w:rsid w:val="004F69C3"/>
    <w:rsid w:val="004F72E3"/>
    <w:rsid w:val="00501CB8"/>
    <w:rsid w:val="00503D4F"/>
    <w:rsid w:val="00504A28"/>
    <w:rsid w:val="00504F7C"/>
    <w:rsid w:val="00512CD9"/>
    <w:rsid w:val="00516EFC"/>
    <w:rsid w:val="005243D7"/>
    <w:rsid w:val="00526228"/>
    <w:rsid w:val="005272D9"/>
    <w:rsid w:val="0053126A"/>
    <w:rsid w:val="00533A69"/>
    <w:rsid w:val="00534FF4"/>
    <w:rsid w:val="005352D6"/>
    <w:rsid w:val="00537212"/>
    <w:rsid w:val="005377BA"/>
    <w:rsid w:val="0054010C"/>
    <w:rsid w:val="00542065"/>
    <w:rsid w:val="00542BAA"/>
    <w:rsid w:val="005449DE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4EFD"/>
    <w:rsid w:val="005668F0"/>
    <w:rsid w:val="0057230C"/>
    <w:rsid w:val="005724D8"/>
    <w:rsid w:val="0057586F"/>
    <w:rsid w:val="00575BB1"/>
    <w:rsid w:val="00575C06"/>
    <w:rsid w:val="005778D2"/>
    <w:rsid w:val="00580B19"/>
    <w:rsid w:val="00580BAF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94EFE"/>
    <w:rsid w:val="005A1098"/>
    <w:rsid w:val="005A11F0"/>
    <w:rsid w:val="005A1F04"/>
    <w:rsid w:val="005A2FA5"/>
    <w:rsid w:val="005A4035"/>
    <w:rsid w:val="005A6491"/>
    <w:rsid w:val="005A6627"/>
    <w:rsid w:val="005A75DA"/>
    <w:rsid w:val="005B45B4"/>
    <w:rsid w:val="005B7775"/>
    <w:rsid w:val="005C050F"/>
    <w:rsid w:val="005C37DE"/>
    <w:rsid w:val="005C462E"/>
    <w:rsid w:val="005C5108"/>
    <w:rsid w:val="005C52F4"/>
    <w:rsid w:val="005C5488"/>
    <w:rsid w:val="005C569C"/>
    <w:rsid w:val="005C5DE4"/>
    <w:rsid w:val="005C6160"/>
    <w:rsid w:val="005C6875"/>
    <w:rsid w:val="005C6E57"/>
    <w:rsid w:val="005C7213"/>
    <w:rsid w:val="005D0550"/>
    <w:rsid w:val="005D19CB"/>
    <w:rsid w:val="005D4A57"/>
    <w:rsid w:val="005D4FF2"/>
    <w:rsid w:val="005D73D1"/>
    <w:rsid w:val="005D7D0A"/>
    <w:rsid w:val="005E0866"/>
    <w:rsid w:val="005E47A4"/>
    <w:rsid w:val="005E53AD"/>
    <w:rsid w:val="005F3129"/>
    <w:rsid w:val="005F5D59"/>
    <w:rsid w:val="005F5D7D"/>
    <w:rsid w:val="005F614E"/>
    <w:rsid w:val="00600E86"/>
    <w:rsid w:val="006011CF"/>
    <w:rsid w:val="00602574"/>
    <w:rsid w:val="006027DA"/>
    <w:rsid w:val="00604192"/>
    <w:rsid w:val="00604A5B"/>
    <w:rsid w:val="00604C6E"/>
    <w:rsid w:val="00604E9D"/>
    <w:rsid w:val="00606D4D"/>
    <w:rsid w:val="006108A7"/>
    <w:rsid w:val="00612B1A"/>
    <w:rsid w:val="00613CC7"/>
    <w:rsid w:val="00617317"/>
    <w:rsid w:val="00620DEE"/>
    <w:rsid w:val="00622121"/>
    <w:rsid w:val="00622B44"/>
    <w:rsid w:val="006240C0"/>
    <w:rsid w:val="00625029"/>
    <w:rsid w:val="006306A1"/>
    <w:rsid w:val="0063127B"/>
    <w:rsid w:val="00633A11"/>
    <w:rsid w:val="00637386"/>
    <w:rsid w:val="006378EB"/>
    <w:rsid w:val="00637CA9"/>
    <w:rsid w:val="00641596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0395"/>
    <w:rsid w:val="00660CCA"/>
    <w:rsid w:val="00663656"/>
    <w:rsid w:val="006640E8"/>
    <w:rsid w:val="00664777"/>
    <w:rsid w:val="00664D27"/>
    <w:rsid w:val="006660AA"/>
    <w:rsid w:val="00666666"/>
    <w:rsid w:val="006702F8"/>
    <w:rsid w:val="00670EFD"/>
    <w:rsid w:val="00673178"/>
    <w:rsid w:val="006734D8"/>
    <w:rsid w:val="006746E6"/>
    <w:rsid w:val="00674CC5"/>
    <w:rsid w:val="00675F79"/>
    <w:rsid w:val="00676998"/>
    <w:rsid w:val="00677119"/>
    <w:rsid w:val="00677562"/>
    <w:rsid w:val="00680244"/>
    <w:rsid w:val="00680B2D"/>
    <w:rsid w:val="00681219"/>
    <w:rsid w:val="00681837"/>
    <w:rsid w:val="00683055"/>
    <w:rsid w:val="006841A7"/>
    <w:rsid w:val="006841F4"/>
    <w:rsid w:val="0068533B"/>
    <w:rsid w:val="00687A09"/>
    <w:rsid w:val="00687FC9"/>
    <w:rsid w:val="00690C32"/>
    <w:rsid w:val="0069699D"/>
    <w:rsid w:val="0069718D"/>
    <w:rsid w:val="006A0808"/>
    <w:rsid w:val="006A0B39"/>
    <w:rsid w:val="006A1C81"/>
    <w:rsid w:val="006A2100"/>
    <w:rsid w:val="006A26AD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95"/>
    <w:rsid w:val="006C55BC"/>
    <w:rsid w:val="006C5E2C"/>
    <w:rsid w:val="006C6FE1"/>
    <w:rsid w:val="006D1BC6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6731"/>
    <w:rsid w:val="006F7CF1"/>
    <w:rsid w:val="007003B3"/>
    <w:rsid w:val="007020B1"/>
    <w:rsid w:val="0070298B"/>
    <w:rsid w:val="007047AD"/>
    <w:rsid w:val="00705BF4"/>
    <w:rsid w:val="00705F77"/>
    <w:rsid w:val="00715DD3"/>
    <w:rsid w:val="007163CD"/>
    <w:rsid w:val="007210B8"/>
    <w:rsid w:val="00722DF9"/>
    <w:rsid w:val="00723736"/>
    <w:rsid w:val="00723830"/>
    <w:rsid w:val="00723A6B"/>
    <w:rsid w:val="0072585C"/>
    <w:rsid w:val="007258F4"/>
    <w:rsid w:val="007261D8"/>
    <w:rsid w:val="00726522"/>
    <w:rsid w:val="007275BD"/>
    <w:rsid w:val="007275C3"/>
    <w:rsid w:val="0073096A"/>
    <w:rsid w:val="007322C5"/>
    <w:rsid w:val="007326CF"/>
    <w:rsid w:val="00733424"/>
    <w:rsid w:val="00734C1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643F"/>
    <w:rsid w:val="007572C2"/>
    <w:rsid w:val="007576CD"/>
    <w:rsid w:val="00762D3A"/>
    <w:rsid w:val="0076300A"/>
    <w:rsid w:val="00764B71"/>
    <w:rsid w:val="0076554F"/>
    <w:rsid w:val="0076612E"/>
    <w:rsid w:val="00767050"/>
    <w:rsid w:val="00767788"/>
    <w:rsid w:val="00770EAA"/>
    <w:rsid w:val="0077436E"/>
    <w:rsid w:val="00774AD7"/>
    <w:rsid w:val="00775924"/>
    <w:rsid w:val="00780708"/>
    <w:rsid w:val="007856A1"/>
    <w:rsid w:val="007857B0"/>
    <w:rsid w:val="00785B0D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13E7"/>
    <w:rsid w:val="007A246F"/>
    <w:rsid w:val="007A6B9F"/>
    <w:rsid w:val="007B054B"/>
    <w:rsid w:val="007B1231"/>
    <w:rsid w:val="007B2B8D"/>
    <w:rsid w:val="007B2EFE"/>
    <w:rsid w:val="007B35E7"/>
    <w:rsid w:val="007B4087"/>
    <w:rsid w:val="007B44D1"/>
    <w:rsid w:val="007B715A"/>
    <w:rsid w:val="007C042B"/>
    <w:rsid w:val="007C1537"/>
    <w:rsid w:val="007C1D13"/>
    <w:rsid w:val="007C444B"/>
    <w:rsid w:val="007C494B"/>
    <w:rsid w:val="007C573D"/>
    <w:rsid w:val="007D0F8B"/>
    <w:rsid w:val="007D3FE7"/>
    <w:rsid w:val="007D45D7"/>
    <w:rsid w:val="007D4841"/>
    <w:rsid w:val="007D5BB4"/>
    <w:rsid w:val="007D6678"/>
    <w:rsid w:val="007D6E20"/>
    <w:rsid w:val="007E0D7D"/>
    <w:rsid w:val="007E1108"/>
    <w:rsid w:val="007E30B8"/>
    <w:rsid w:val="007E4EC6"/>
    <w:rsid w:val="007E5004"/>
    <w:rsid w:val="007E6920"/>
    <w:rsid w:val="007E7C8D"/>
    <w:rsid w:val="007F1431"/>
    <w:rsid w:val="007F2C66"/>
    <w:rsid w:val="007F40EC"/>
    <w:rsid w:val="007F5849"/>
    <w:rsid w:val="007F5F09"/>
    <w:rsid w:val="007F6A8B"/>
    <w:rsid w:val="007F7113"/>
    <w:rsid w:val="008002DC"/>
    <w:rsid w:val="00802274"/>
    <w:rsid w:val="008053D5"/>
    <w:rsid w:val="0080606E"/>
    <w:rsid w:val="00806974"/>
    <w:rsid w:val="00807435"/>
    <w:rsid w:val="00811438"/>
    <w:rsid w:val="00812698"/>
    <w:rsid w:val="008130A6"/>
    <w:rsid w:val="00815414"/>
    <w:rsid w:val="008159FF"/>
    <w:rsid w:val="00815B24"/>
    <w:rsid w:val="008175B7"/>
    <w:rsid w:val="00817D57"/>
    <w:rsid w:val="00820B46"/>
    <w:rsid w:val="00820CB7"/>
    <w:rsid w:val="00821963"/>
    <w:rsid w:val="00821EDF"/>
    <w:rsid w:val="00822A60"/>
    <w:rsid w:val="00826137"/>
    <w:rsid w:val="00830A0A"/>
    <w:rsid w:val="0083107E"/>
    <w:rsid w:val="00832A1F"/>
    <w:rsid w:val="00832E41"/>
    <w:rsid w:val="00833894"/>
    <w:rsid w:val="008343FF"/>
    <w:rsid w:val="008355A7"/>
    <w:rsid w:val="00837252"/>
    <w:rsid w:val="008404FA"/>
    <w:rsid w:val="0084184F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5919"/>
    <w:rsid w:val="008628DD"/>
    <w:rsid w:val="0086558E"/>
    <w:rsid w:val="00866914"/>
    <w:rsid w:val="0087029A"/>
    <w:rsid w:val="008706D1"/>
    <w:rsid w:val="008713D2"/>
    <w:rsid w:val="00872FAB"/>
    <w:rsid w:val="00873763"/>
    <w:rsid w:val="00875665"/>
    <w:rsid w:val="00877053"/>
    <w:rsid w:val="00877EBD"/>
    <w:rsid w:val="008836EF"/>
    <w:rsid w:val="00885908"/>
    <w:rsid w:val="00885BD2"/>
    <w:rsid w:val="00886BE7"/>
    <w:rsid w:val="008876D3"/>
    <w:rsid w:val="008902D6"/>
    <w:rsid w:val="00890AA1"/>
    <w:rsid w:val="0089254F"/>
    <w:rsid w:val="008930E8"/>
    <w:rsid w:val="008949F6"/>
    <w:rsid w:val="008967BB"/>
    <w:rsid w:val="00897264"/>
    <w:rsid w:val="00897666"/>
    <w:rsid w:val="008A00C9"/>
    <w:rsid w:val="008A04DA"/>
    <w:rsid w:val="008A07F0"/>
    <w:rsid w:val="008A094D"/>
    <w:rsid w:val="008A2CBB"/>
    <w:rsid w:val="008A2CE0"/>
    <w:rsid w:val="008A3FF8"/>
    <w:rsid w:val="008A4FDD"/>
    <w:rsid w:val="008A57EB"/>
    <w:rsid w:val="008A5AB6"/>
    <w:rsid w:val="008A5F47"/>
    <w:rsid w:val="008A6FE4"/>
    <w:rsid w:val="008A7999"/>
    <w:rsid w:val="008B010F"/>
    <w:rsid w:val="008B0296"/>
    <w:rsid w:val="008B07E1"/>
    <w:rsid w:val="008B2833"/>
    <w:rsid w:val="008B31A1"/>
    <w:rsid w:val="008B325E"/>
    <w:rsid w:val="008B3766"/>
    <w:rsid w:val="008B3CAA"/>
    <w:rsid w:val="008B3DC4"/>
    <w:rsid w:val="008B40D6"/>
    <w:rsid w:val="008B4889"/>
    <w:rsid w:val="008B6C83"/>
    <w:rsid w:val="008B71ED"/>
    <w:rsid w:val="008C180F"/>
    <w:rsid w:val="008C1BAE"/>
    <w:rsid w:val="008C5DF8"/>
    <w:rsid w:val="008C78C9"/>
    <w:rsid w:val="008D1151"/>
    <w:rsid w:val="008D1A2F"/>
    <w:rsid w:val="008D2445"/>
    <w:rsid w:val="008D56AC"/>
    <w:rsid w:val="008D57DA"/>
    <w:rsid w:val="008D6200"/>
    <w:rsid w:val="008D62AD"/>
    <w:rsid w:val="008D727E"/>
    <w:rsid w:val="008E1C08"/>
    <w:rsid w:val="008E4FCD"/>
    <w:rsid w:val="008E4FE3"/>
    <w:rsid w:val="008F15B5"/>
    <w:rsid w:val="008F1AD2"/>
    <w:rsid w:val="008F235C"/>
    <w:rsid w:val="008F312A"/>
    <w:rsid w:val="008F3252"/>
    <w:rsid w:val="008F400E"/>
    <w:rsid w:val="008F59CF"/>
    <w:rsid w:val="008F74B3"/>
    <w:rsid w:val="009017BC"/>
    <w:rsid w:val="009036BC"/>
    <w:rsid w:val="00903A1D"/>
    <w:rsid w:val="0090453A"/>
    <w:rsid w:val="00905611"/>
    <w:rsid w:val="00906928"/>
    <w:rsid w:val="00911E46"/>
    <w:rsid w:val="0091254C"/>
    <w:rsid w:val="00912725"/>
    <w:rsid w:val="00912946"/>
    <w:rsid w:val="00912BF0"/>
    <w:rsid w:val="00912C40"/>
    <w:rsid w:val="00913C27"/>
    <w:rsid w:val="00913DCB"/>
    <w:rsid w:val="009144F0"/>
    <w:rsid w:val="00914B90"/>
    <w:rsid w:val="00915065"/>
    <w:rsid w:val="009201B2"/>
    <w:rsid w:val="00923702"/>
    <w:rsid w:val="00926BB1"/>
    <w:rsid w:val="00926F1C"/>
    <w:rsid w:val="00927AF7"/>
    <w:rsid w:val="00927C5C"/>
    <w:rsid w:val="00930695"/>
    <w:rsid w:val="009309C6"/>
    <w:rsid w:val="00931207"/>
    <w:rsid w:val="00931B6D"/>
    <w:rsid w:val="00931D92"/>
    <w:rsid w:val="00932A93"/>
    <w:rsid w:val="00937164"/>
    <w:rsid w:val="0094110D"/>
    <w:rsid w:val="0094269F"/>
    <w:rsid w:val="0094334E"/>
    <w:rsid w:val="009439C0"/>
    <w:rsid w:val="00945676"/>
    <w:rsid w:val="009504A7"/>
    <w:rsid w:val="00952CF7"/>
    <w:rsid w:val="009534A4"/>
    <w:rsid w:val="00953640"/>
    <w:rsid w:val="00953FCA"/>
    <w:rsid w:val="00954840"/>
    <w:rsid w:val="00954B2A"/>
    <w:rsid w:val="009555A9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0804"/>
    <w:rsid w:val="0097232E"/>
    <w:rsid w:val="0097558D"/>
    <w:rsid w:val="00975689"/>
    <w:rsid w:val="00975D7B"/>
    <w:rsid w:val="00976A3A"/>
    <w:rsid w:val="00977784"/>
    <w:rsid w:val="0098232D"/>
    <w:rsid w:val="00982360"/>
    <w:rsid w:val="009823E8"/>
    <w:rsid w:val="00984164"/>
    <w:rsid w:val="009872E6"/>
    <w:rsid w:val="00987646"/>
    <w:rsid w:val="00987854"/>
    <w:rsid w:val="009930D1"/>
    <w:rsid w:val="009949AF"/>
    <w:rsid w:val="0099583B"/>
    <w:rsid w:val="00997D39"/>
    <w:rsid w:val="009A0441"/>
    <w:rsid w:val="009A126B"/>
    <w:rsid w:val="009A1334"/>
    <w:rsid w:val="009A295E"/>
    <w:rsid w:val="009A2EC7"/>
    <w:rsid w:val="009A2F91"/>
    <w:rsid w:val="009A42AE"/>
    <w:rsid w:val="009A5123"/>
    <w:rsid w:val="009A6AC8"/>
    <w:rsid w:val="009A7C7B"/>
    <w:rsid w:val="009B14DB"/>
    <w:rsid w:val="009B21A6"/>
    <w:rsid w:val="009B2610"/>
    <w:rsid w:val="009B2789"/>
    <w:rsid w:val="009B375B"/>
    <w:rsid w:val="009B41A5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6E6C"/>
    <w:rsid w:val="009E72A1"/>
    <w:rsid w:val="009F2250"/>
    <w:rsid w:val="009F3C9A"/>
    <w:rsid w:val="00A01A5E"/>
    <w:rsid w:val="00A01F91"/>
    <w:rsid w:val="00A03B3F"/>
    <w:rsid w:val="00A03C5E"/>
    <w:rsid w:val="00A06DBF"/>
    <w:rsid w:val="00A076A3"/>
    <w:rsid w:val="00A10D16"/>
    <w:rsid w:val="00A14BFB"/>
    <w:rsid w:val="00A151E6"/>
    <w:rsid w:val="00A16E35"/>
    <w:rsid w:val="00A17E24"/>
    <w:rsid w:val="00A205B6"/>
    <w:rsid w:val="00A2408B"/>
    <w:rsid w:val="00A26634"/>
    <w:rsid w:val="00A266C0"/>
    <w:rsid w:val="00A26F00"/>
    <w:rsid w:val="00A26FBD"/>
    <w:rsid w:val="00A27D80"/>
    <w:rsid w:val="00A27E93"/>
    <w:rsid w:val="00A300ED"/>
    <w:rsid w:val="00A30605"/>
    <w:rsid w:val="00A335E5"/>
    <w:rsid w:val="00A35B6B"/>
    <w:rsid w:val="00A35DAE"/>
    <w:rsid w:val="00A360F7"/>
    <w:rsid w:val="00A367B5"/>
    <w:rsid w:val="00A3734B"/>
    <w:rsid w:val="00A405A3"/>
    <w:rsid w:val="00A41593"/>
    <w:rsid w:val="00A41D53"/>
    <w:rsid w:val="00A4632C"/>
    <w:rsid w:val="00A46F13"/>
    <w:rsid w:val="00A50865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5EA"/>
    <w:rsid w:val="00A70669"/>
    <w:rsid w:val="00A706D5"/>
    <w:rsid w:val="00A71402"/>
    <w:rsid w:val="00A71734"/>
    <w:rsid w:val="00A721B0"/>
    <w:rsid w:val="00A726DC"/>
    <w:rsid w:val="00A744BE"/>
    <w:rsid w:val="00A75242"/>
    <w:rsid w:val="00A75772"/>
    <w:rsid w:val="00A757FF"/>
    <w:rsid w:val="00A75CE5"/>
    <w:rsid w:val="00A77C21"/>
    <w:rsid w:val="00A81101"/>
    <w:rsid w:val="00A815B8"/>
    <w:rsid w:val="00A81C3F"/>
    <w:rsid w:val="00A81DD2"/>
    <w:rsid w:val="00A830AD"/>
    <w:rsid w:val="00A838C9"/>
    <w:rsid w:val="00A85D77"/>
    <w:rsid w:val="00A8785E"/>
    <w:rsid w:val="00A90F82"/>
    <w:rsid w:val="00A92254"/>
    <w:rsid w:val="00A955B6"/>
    <w:rsid w:val="00A95E7B"/>
    <w:rsid w:val="00A9611F"/>
    <w:rsid w:val="00A96883"/>
    <w:rsid w:val="00A96A21"/>
    <w:rsid w:val="00A97C07"/>
    <w:rsid w:val="00AA0BB7"/>
    <w:rsid w:val="00AA0E3D"/>
    <w:rsid w:val="00AA3782"/>
    <w:rsid w:val="00AA4EF7"/>
    <w:rsid w:val="00AA5CE7"/>
    <w:rsid w:val="00AA6361"/>
    <w:rsid w:val="00AB0393"/>
    <w:rsid w:val="00AB0B97"/>
    <w:rsid w:val="00AB1897"/>
    <w:rsid w:val="00AB1AF0"/>
    <w:rsid w:val="00AB361C"/>
    <w:rsid w:val="00AC1070"/>
    <w:rsid w:val="00AC1C62"/>
    <w:rsid w:val="00AC27DC"/>
    <w:rsid w:val="00AC30EF"/>
    <w:rsid w:val="00AC64A6"/>
    <w:rsid w:val="00AC6839"/>
    <w:rsid w:val="00AD05E4"/>
    <w:rsid w:val="00AD136C"/>
    <w:rsid w:val="00AD4F61"/>
    <w:rsid w:val="00AD62DC"/>
    <w:rsid w:val="00AD6A25"/>
    <w:rsid w:val="00AD6FCB"/>
    <w:rsid w:val="00AD7423"/>
    <w:rsid w:val="00AE024C"/>
    <w:rsid w:val="00AE09DF"/>
    <w:rsid w:val="00AE0EE9"/>
    <w:rsid w:val="00AE321F"/>
    <w:rsid w:val="00AE5234"/>
    <w:rsid w:val="00AE72FA"/>
    <w:rsid w:val="00AF07E3"/>
    <w:rsid w:val="00AF10B6"/>
    <w:rsid w:val="00AF21D1"/>
    <w:rsid w:val="00AF2314"/>
    <w:rsid w:val="00AF30FE"/>
    <w:rsid w:val="00AF3CB1"/>
    <w:rsid w:val="00AF52BD"/>
    <w:rsid w:val="00AF5525"/>
    <w:rsid w:val="00AF55B6"/>
    <w:rsid w:val="00AF68C3"/>
    <w:rsid w:val="00B00D1B"/>
    <w:rsid w:val="00B00DF8"/>
    <w:rsid w:val="00B00E56"/>
    <w:rsid w:val="00B01CC4"/>
    <w:rsid w:val="00B0313F"/>
    <w:rsid w:val="00B04265"/>
    <w:rsid w:val="00B048FE"/>
    <w:rsid w:val="00B04A3B"/>
    <w:rsid w:val="00B04C62"/>
    <w:rsid w:val="00B06C2D"/>
    <w:rsid w:val="00B06D16"/>
    <w:rsid w:val="00B07B5B"/>
    <w:rsid w:val="00B114AE"/>
    <w:rsid w:val="00B13D59"/>
    <w:rsid w:val="00B14EF3"/>
    <w:rsid w:val="00B16F7A"/>
    <w:rsid w:val="00B25FF7"/>
    <w:rsid w:val="00B26428"/>
    <w:rsid w:val="00B26436"/>
    <w:rsid w:val="00B26EA3"/>
    <w:rsid w:val="00B308C8"/>
    <w:rsid w:val="00B30D45"/>
    <w:rsid w:val="00B312F5"/>
    <w:rsid w:val="00B31CB7"/>
    <w:rsid w:val="00B34BA7"/>
    <w:rsid w:val="00B35D56"/>
    <w:rsid w:val="00B35E4B"/>
    <w:rsid w:val="00B37C57"/>
    <w:rsid w:val="00B436D0"/>
    <w:rsid w:val="00B43F57"/>
    <w:rsid w:val="00B47698"/>
    <w:rsid w:val="00B5169B"/>
    <w:rsid w:val="00B51816"/>
    <w:rsid w:val="00B5763A"/>
    <w:rsid w:val="00B57868"/>
    <w:rsid w:val="00B6367C"/>
    <w:rsid w:val="00B65AF5"/>
    <w:rsid w:val="00B65D48"/>
    <w:rsid w:val="00B67F02"/>
    <w:rsid w:val="00B67FD7"/>
    <w:rsid w:val="00B721DC"/>
    <w:rsid w:val="00B734C9"/>
    <w:rsid w:val="00B73B84"/>
    <w:rsid w:val="00B73CAC"/>
    <w:rsid w:val="00B742F7"/>
    <w:rsid w:val="00B74963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819"/>
    <w:rsid w:val="00B84D7D"/>
    <w:rsid w:val="00B865F8"/>
    <w:rsid w:val="00B867E4"/>
    <w:rsid w:val="00B86EFE"/>
    <w:rsid w:val="00B87483"/>
    <w:rsid w:val="00B87843"/>
    <w:rsid w:val="00B91D6B"/>
    <w:rsid w:val="00B923EC"/>
    <w:rsid w:val="00B93992"/>
    <w:rsid w:val="00B9535D"/>
    <w:rsid w:val="00BA042A"/>
    <w:rsid w:val="00BA1750"/>
    <w:rsid w:val="00BA1E43"/>
    <w:rsid w:val="00BA349C"/>
    <w:rsid w:val="00BA775F"/>
    <w:rsid w:val="00BB1565"/>
    <w:rsid w:val="00BB2FD5"/>
    <w:rsid w:val="00BB3F31"/>
    <w:rsid w:val="00BB4843"/>
    <w:rsid w:val="00BB5CEE"/>
    <w:rsid w:val="00BC1160"/>
    <w:rsid w:val="00BC148E"/>
    <w:rsid w:val="00BC1602"/>
    <w:rsid w:val="00BC2D69"/>
    <w:rsid w:val="00BC2DEF"/>
    <w:rsid w:val="00BC3EA2"/>
    <w:rsid w:val="00BC49EE"/>
    <w:rsid w:val="00BC62A9"/>
    <w:rsid w:val="00BD05E9"/>
    <w:rsid w:val="00BD0930"/>
    <w:rsid w:val="00BD139A"/>
    <w:rsid w:val="00BD1897"/>
    <w:rsid w:val="00BD2053"/>
    <w:rsid w:val="00BD325A"/>
    <w:rsid w:val="00BD5187"/>
    <w:rsid w:val="00BD6FC2"/>
    <w:rsid w:val="00BE24D1"/>
    <w:rsid w:val="00BE351F"/>
    <w:rsid w:val="00BE3A21"/>
    <w:rsid w:val="00BE7E32"/>
    <w:rsid w:val="00BF2C26"/>
    <w:rsid w:val="00BF5016"/>
    <w:rsid w:val="00BF72B7"/>
    <w:rsid w:val="00BF762D"/>
    <w:rsid w:val="00C00F78"/>
    <w:rsid w:val="00C02011"/>
    <w:rsid w:val="00C0282E"/>
    <w:rsid w:val="00C0381C"/>
    <w:rsid w:val="00C04864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319"/>
    <w:rsid w:val="00C226EE"/>
    <w:rsid w:val="00C25543"/>
    <w:rsid w:val="00C25C01"/>
    <w:rsid w:val="00C30A36"/>
    <w:rsid w:val="00C33C6B"/>
    <w:rsid w:val="00C3574B"/>
    <w:rsid w:val="00C36D00"/>
    <w:rsid w:val="00C4018E"/>
    <w:rsid w:val="00C40784"/>
    <w:rsid w:val="00C42373"/>
    <w:rsid w:val="00C431E6"/>
    <w:rsid w:val="00C43354"/>
    <w:rsid w:val="00C44187"/>
    <w:rsid w:val="00C445B4"/>
    <w:rsid w:val="00C44ADB"/>
    <w:rsid w:val="00C45DDD"/>
    <w:rsid w:val="00C4677B"/>
    <w:rsid w:val="00C5026C"/>
    <w:rsid w:val="00C51703"/>
    <w:rsid w:val="00C51AAD"/>
    <w:rsid w:val="00C52DA8"/>
    <w:rsid w:val="00C536E6"/>
    <w:rsid w:val="00C536F7"/>
    <w:rsid w:val="00C5439E"/>
    <w:rsid w:val="00C55139"/>
    <w:rsid w:val="00C61499"/>
    <w:rsid w:val="00C62C08"/>
    <w:rsid w:val="00C62D66"/>
    <w:rsid w:val="00C65A37"/>
    <w:rsid w:val="00C6620E"/>
    <w:rsid w:val="00C70769"/>
    <w:rsid w:val="00C70934"/>
    <w:rsid w:val="00C726C5"/>
    <w:rsid w:val="00C73759"/>
    <w:rsid w:val="00C73E43"/>
    <w:rsid w:val="00C73EB5"/>
    <w:rsid w:val="00C75DEC"/>
    <w:rsid w:val="00C80D32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96A1B"/>
    <w:rsid w:val="00CA08FC"/>
    <w:rsid w:val="00CA4C73"/>
    <w:rsid w:val="00CA77DE"/>
    <w:rsid w:val="00CB094B"/>
    <w:rsid w:val="00CB0E44"/>
    <w:rsid w:val="00CB3379"/>
    <w:rsid w:val="00CB4DB1"/>
    <w:rsid w:val="00CB55D4"/>
    <w:rsid w:val="00CB7680"/>
    <w:rsid w:val="00CC0F12"/>
    <w:rsid w:val="00CC1C43"/>
    <w:rsid w:val="00CC2168"/>
    <w:rsid w:val="00CC2F67"/>
    <w:rsid w:val="00CC308D"/>
    <w:rsid w:val="00CC5ED4"/>
    <w:rsid w:val="00CC63D1"/>
    <w:rsid w:val="00CC6A63"/>
    <w:rsid w:val="00CC7710"/>
    <w:rsid w:val="00CD1AFC"/>
    <w:rsid w:val="00CD21E7"/>
    <w:rsid w:val="00CD22F8"/>
    <w:rsid w:val="00CD2CBA"/>
    <w:rsid w:val="00CD2D9F"/>
    <w:rsid w:val="00CD2E8A"/>
    <w:rsid w:val="00CD2F38"/>
    <w:rsid w:val="00CD53B6"/>
    <w:rsid w:val="00CD7567"/>
    <w:rsid w:val="00CE12BB"/>
    <w:rsid w:val="00CE2B52"/>
    <w:rsid w:val="00CE2DD8"/>
    <w:rsid w:val="00CE352C"/>
    <w:rsid w:val="00CE3DF0"/>
    <w:rsid w:val="00CF0C50"/>
    <w:rsid w:val="00CF14F1"/>
    <w:rsid w:val="00CF342E"/>
    <w:rsid w:val="00CF39C8"/>
    <w:rsid w:val="00CF41D9"/>
    <w:rsid w:val="00CF5181"/>
    <w:rsid w:val="00D002A5"/>
    <w:rsid w:val="00D01277"/>
    <w:rsid w:val="00D01B7C"/>
    <w:rsid w:val="00D03BA4"/>
    <w:rsid w:val="00D05AB2"/>
    <w:rsid w:val="00D06174"/>
    <w:rsid w:val="00D0742A"/>
    <w:rsid w:val="00D10B48"/>
    <w:rsid w:val="00D10C27"/>
    <w:rsid w:val="00D13B5C"/>
    <w:rsid w:val="00D15B83"/>
    <w:rsid w:val="00D21CC0"/>
    <w:rsid w:val="00D22B25"/>
    <w:rsid w:val="00D231DF"/>
    <w:rsid w:val="00D2330B"/>
    <w:rsid w:val="00D2461D"/>
    <w:rsid w:val="00D31532"/>
    <w:rsid w:val="00D361D6"/>
    <w:rsid w:val="00D42BF7"/>
    <w:rsid w:val="00D44F60"/>
    <w:rsid w:val="00D45E45"/>
    <w:rsid w:val="00D46075"/>
    <w:rsid w:val="00D46722"/>
    <w:rsid w:val="00D4687E"/>
    <w:rsid w:val="00D47A17"/>
    <w:rsid w:val="00D47A2C"/>
    <w:rsid w:val="00D50890"/>
    <w:rsid w:val="00D511C9"/>
    <w:rsid w:val="00D5359B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66C08"/>
    <w:rsid w:val="00D71F34"/>
    <w:rsid w:val="00D73FC6"/>
    <w:rsid w:val="00D75A79"/>
    <w:rsid w:val="00D774D3"/>
    <w:rsid w:val="00D77D22"/>
    <w:rsid w:val="00D80DB3"/>
    <w:rsid w:val="00D8119D"/>
    <w:rsid w:val="00D8363D"/>
    <w:rsid w:val="00D85B41"/>
    <w:rsid w:val="00D860AE"/>
    <w:rsid w:val="00D87533"/>
    <w:rsid w:val="00D913DC"/>
    <w:rsid w:val="00D91E60"/>
    <w:rsid w:val="00D923A2"/>
    <w:rsid w:val="00D93DD4"/>
    <w:rsid w:val="00D97CA6"/>
    <w:rsid w:val="00DA30E7"/>
    <w:rsid w:val="00DA33EF"/>
    <w:rsid w:val="00DA3459"/>
    <w:rsid w:val="00DA40CE"/>
    <w:rsid w:val="00DA5515"/>
    <w:rsid w:val="00DA6CA2"/>
    <w:rsid w:val="00DB2148"/>
    <w:rsid w:val="00DB299E"/>
    <w:rsid w:val="00DB2E1F"/>
    <w:rsid w:val="00DB386E"/>
    <w:rsid w:val="00DB3CA5"/>
    <w:rsid w:val="00DB3E55"/>
    <w:rsid w:val="00DB3FEC"/>
    <w:rsid w:val="00DB4125"/>
    <w:rsid w:val="00DB52B3"/>
    <w:rsid w:val="00DB5305"/>
    <w:rsid w:val="00DB5A58"/>
    <w:rsid w:val="00DB6A3C"/>
    <w:rsid w:val="00DC1EAD"/>
    <w:rsid w:val="00DC2658"/>
    <w:rsid w:val="00DC31DE"/>
    <w:rsid w:val="00DC4628"/>
    <w:rsid w:val="00DC7484"/>
    <w:rsid w:val="00DC76C5"/>
    <w:rsid w:val="00DD017D"/>
    <w:rsid w:val="00DD05A0"/>
    <w:rsid w:val="00DD079D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16FE6"/>
    <w:rsid w:val="00E2057C"/>
    <w:rsid w:val="00E211F9"/>
    <w:rsid w:val="00E24A26"/>
    <w:rsid w:val="00E25E7B"/>
    <w:rsid w:val="00E2648A"/>
    <w:rsid w:val="00E26E40"/>
    <w:rsid w:val="00E324D6"/>
    <w:rsid w:val="00E349F6"/>
    <w:rsid w:val="00E35B10"/>
    <w:rsid w:val="00E36759"/>
    <w:rsid w:val="00E37204"/>
    <w:rsid w:val="00E37EAA"/>
    <w:rsid w:val="00E40D93"/>
    <w:rsid w:val="00E41083"/>
    <w:rsid w:val="00E41F3C"/>
    <w:rsid w:val="00E422AD"/>
    <w:rsid w:val="00E427D9"/>
    <w:rsid w:val="00E42C48"/>
    <w:rsid w:val="00E42DEC"/>
    <w:rsid w:val="00E435BD"/>
    <w:rsid w:val="00E43DA3"/>
    <w:rsid w:val="00E447E3"/>
    <w:rsid w:val="00E46871"/>
    <w:rsid w:val="00E46EF8"/>
    <w:rsid w:val="00E47120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051C"/>
    <w:rsid w:val="00E72C67"/>
    <w:rsid w:val="00E734D4"/>
    <w:rsid w:val="00E735A8"/>
    <w:rsid w:val="00E74D72"/>
    <w:rsid w:val="00E74E0D"/>
    <w:rsid w:val="00E75257"/>
    <w:rsid w:val="00E75871"/>
    <w:rsid w:val="00E7786B"/>
    <w:rsid w:val="00E80839"/>
    <w:rsid w:val="00E8221A"/>
    <w:rsid w:val="00E8458C"/>
    <w:rsid w:val="00E86103"/>
    <w:rsid w:val="00E8652C"/>
    <w:rsid w:val="00E871ED"/>
    <w:rsid w:val="00E9049A"/>
    <w:rsid w:val="00E91431"/>
    <w:rsid w:val="00E919B3"/>
    <w:rsid w:val="00E92687"/>
    <w:rsid w:val="00E92ED4"/>
    <w:rsid w:val="00E94E03"/>
    <w:rsid w:val="00E95A3E"/>
    <w:rsid w:val="00E95F6D"/>
    <w:rsid w:val="00EA1B55"/>
    <w:rsid w:val="00EA226F"/>
    <w:rsid w:val="00EA4F7A"/>
    <w:rsid w:val="00EB03F2"/>
    <w:rsid w:val="00EB27E2"/>
    <w:rsid w:val="00EB402E"/>
    <w:rsid w:val="00EB4938"/>
    <w:rsid w:val="00EB4C23"/>
    <w:rsid w:val="00EB71F2"/>
    <w:rsid w:val="00EB738B"/>
    <w:rsid w:val="00EC14B5"/>
    <w:rsid w:val="00EC1701"/>
    <w:rsid w:val="00EC3669"/>
    <w:rsid w:val="00ED04AC"/>
    <w:rsid w:val="00ED10FB"/>
    <w:rsid w:val="00ED171A"/>
    <w:rsid w:val="00ED2AEA"/>
    <w:rsid w:val="00ED392D"/>
    <w:rsid w:val="00ED3F32"/>
    <w:rsid w:val="00ED47B0"/>
    <w:rsid w:val="00ED73CD"/>
    <w:rsid w:val="00EE1053"/>
    <w:rsid w:val="00EE3F35"/>
    <w:rsid w:val="00EE414A"/>
    <w:rsid w:val="00EF2B7A"/>
    <w:rsid w:val="00EF53EF"/>
    <w:rsid w:val="00EF78FF"/>
    <w:rsid w:val="00F00308"/>
    <w:rsid w:val="00F00773"/>
    <w:rsid w:val="00F010EF"/>
    <w:rsid w:val="00F02E38"/>
    <w:rsid w:val="00F04118"/>
    <w:rsid w:val="00F04539"/>
    <w:rsid w:val="00F04EA3"/>
    <w:rsid w:val="00F0564B"/>
    <w:rsid w:val="00F06173"/>
    <w:rsid w:val="00F06CC1"/>
    <w:rsid w:val="00F06D2B"/>
    <w:rsid w:val="00F073A2"/>
    <w:rsid w:val="00F13167"/>
    <w:rsid w:val="00F1337A"/>
    <w:rsid w:val="00F14D2A"/>
    <w:rsid w:val="00F15F2B"/>
    <w:rsid w:val="00F16349"/>
    <w:rsid w:val="00F20103"/>
    <w:rsid w:val="00F20104"/>
    <w:rsid w:val="00F202D9"/>
    <w:rsid w:val="00F20D1F"/>
    <w:rsid w:val="00F2116E"/>
    <w:rsid w:val="00F21446"/>
    <w:rsid w:val="00F22959"/>
    <w:rsid w:val="00F22D8E"/>
    <w:rsid w:val="00F23CEC"/>
    <w:rsid w:val="00F32618"/>
    <w:rsid w:val="00F33BA9"/>
    <w:rsid w:val="00F346B4"/>
    <w:rsid w:val="00F3489F"/>
    <w:rsid w:val="00F34B65"/>
    <w:rsid w:val="00F34D3D"/>
    <w:rsid w:val="00F351B5"/>
    <w:rsid w:val="00F35C84"/>
    <w:rsid w:val="00F361FC"/>
    <w:rsid w:val="00F36550"/>
    <w:rsid w:val="00F404DD"/>
    <w:rsid w:val="00F4076E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2F80"/>
    <w:rsid w:val="00F63B17"/>
    <w:rsid w:val="00F64730"/>
    <w:rsid w:val="00F65525"/>
    <w:rsid w:val="00F66153"/>
    <w:rsid w:val="00F66F67"/>
    <w:rsid w:val="00F71642"/>
    <w:rsid w:val="00F71C57"/>
    <w:rsid w:val="00F735D9"/>
    <w:rsid w:val="00F738BF"/>
    <w:rsid w:val="00F748E3"/>
    <w:rsid w:val="00F75CB6"/>
    <w:rsid w:val="00F766BC"/>
    <w:rsid w:val="00F7719A"/>
    <w:rsid w:val="00F8035F"/>
    <w:rsid w:val="00F814E3"/>
    <w:rsid w:val="00F81526"/>
    <w:rsid w:val="00F81708"/>
    <w:rsid w:val="00F81FA1"/>
    <w:rsid w:val="00F82834"/>
    <w:rsid w:val="00F84E0F"/>
    <w:rsid w:val="00F85422"/>
    <w:rsid w:val="00F861D4"/>
    <w:rsid w:val="00F866B2"/>
    <w:rsid w:val="00F8779A"/>
    <w:rsid w:val="00F91792"/>
    <w:rsid w:val="00F95565"/>
    <w:rsid w:val="00F96BB8"/>
    <w:rsid w:val="00FA3AA1"/>
    <w:rsid w:val="00FA3B4C"/>
    <w:rsid w:val="00FA6ED1"/>
    <w:rsid w:val="00FA7EBD"/>
    <w:rsid w:val="00FB0DF6"/>
    <w:rsid w:val="00FB185B"/>
    <w:rsid w:val="00FB1A43"/>
    <w:rsid w:val="00FB3F17"/>
    <w:rsid w:val="00FB4978"/>
    <w:rsid w:val="00FC088C"/>
    <w:rsid w:val="00FC133F"/>
    <w:rsid w:val="00FC13C8"/>
    <w:rsid w:val="00FC1CE0"/>
    <w:rsid w:val="00FC21E9"/>
    <w:rsid w:val="00FC2723"/>
    <w:rsid w:val="00FC3366"/>
    <w:rsid w:val="00FC6C9E"/>
    <w:rsid w:val="00FC6E9F"/>
    <w:rsid w:val="00FC785B"/>
    <w:rsid w:val="00FC7986"/>
    <w:rsid w:val="00FD0781"/>
    <w:rsid w:val="00FD1EB6"/>
    <w:rsid w:val="00FD27B5"/>
    <w:rsid w:val="00FD349F"/>
    <w:rsid w:val="00FD442D"/>
    <w:rsid w:val="00FD514D"/>
    <w:rsid w:val="00FD529C"/>
    <w:rsid w:val="00FD5A51"/>
    <w:rsid w:val="00FD5ACC"/>
    <w:rsid w:val="00FD61D9"/>
    <w:rsid w:val="00FD6563"/>
    <w:rsid w:val="00FD675F"/>
    <w:rsid w:val="00FD759B"/>
    <w:rsid w:val="00FE2F62"/>
    <w:rsid w:val="00FE2F95"/>
    <w:rsid w:val="00FE6813"/>
    <w:rsid w:val="00FF02AA"/>
    <w:rsid w:val="00FF2301"/>
    <w:rsid w:val="00FF296C"/>
    <w:rsid w:val="00FF2E89"/>
    <w:rsid w:val="00FF421C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1A143-7F9D-4CF1-9E82-9DC430AD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3044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20358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Сивриткина Мария Алексеевна</cp:lastModifiedBy>
  <cp:revision>2</cp:revision>
  <cp:lastPrinted>2020-12-11T05:24:00Z</cp:lastPrinted>
  <dcterms:created xsi:type="dcterms:W3CDTF">2020-12-11T07:34:00Z</dcterms:created>
  <dcterms:modified xsi:type="dcterms:W3CDTF">2020-12-11T07:34:00Z</dcterms:modified>
</cp:coreProperties>
</file>